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A8" w:rsidRDefault="00D96F1A">
      <w:pPr>
        <w:spacing w:after="0" w:line="252" w:lineRule="exact"/>
        <w:sectPr w:rsidR="00806AA8">
          <w:type w:val="continuous"/>
          <w:pgSz w:w="11906" w:h="16725"/>
          <w:pgMar w:top="818" w:right="430" w:bottom="578" w:left="790" w:header="0" w:footer="0" w:gutter="0"/>
          <w:cols w:space="720" w:equalWidth="0">
            <w:col w:w="10685"/>
          </w:cols>
          <w:docGrid w:type="lines" w:linePitch="312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margin-left:40pt;margin-top:42pt;width:98pt;height:12pt;z-index:-251655168;mso-position-horizontal-relative:page;mso-position-vertical-relative:page;mso-width-relative:page;mso-height-relative:page">
            <v:imagedata r:id="rId7" o:title=""/>
            <w10:wrap anchorx="page" anchory="page"/>
          </v:shape>
        </w:pict>
      </w:r>
      <w:r>
        <w:pict>
          <v:shape id="polygon5" o:spid="_x0000_s1036" style="position:absolute;margin-left:0;margin-top:0;width:50pt;height:50pt;z-index:251659264;visibility:hidden;mso-width-relative:page;mso-height-relative:page" coordsize="7800,147" o:spt="100" adj="0,,0" path="m50,50r,l7750,50e">
            <v:stroke joinstyle="miter"/>
            <v:formulas/>
            <v:path o:connecttype="segments"/>
            <o:lock v:ext="edit" selection="t"/>
          </v:shape>
        </w:pict>
      </w:r>
      <w:r>
        <w:pict>
          <v:shape id="polygon6" o:spid="_x0000_s1035" style="position:absolute;margin-left:0;margin-top:0;width:50pt;height:50pt;z-index:251660288;visibility:hidden;mso-width-relative:page;mso-height-relative:page" coordsize="9597,147" o:spt="100" adj="0,,0" path="m50,50r,l9547,50e">
            <v:stroke joinstyle="miter"/>
            <v:formulas/>
            <v:path o:connecttype="segments"/>
            <o:lock v:ext="edit" selection="t"/>
          </v:shape>
        </w:pict>
      </w:r>
    </w:p>
    <w:p w:rsidR="00806AA8" w:rsidRDefault="00D96F1A">
      <w:pPr>
        <w:tabs>
          <w:tab w:val="left" w:pos="3030"/>
          <w:tab w:val="left" w:pos="6144"/>
        </w:tabs>
        <w:spacing w:after="0" w:line="380" w:lineRule="exact"/>
      </w:pPr>
      <w:bookmarkStart w:id="0" w:name="1"/>
      <w:bookmarkEnd w:id="0"/>
      <w:r>
        <w:lastRenderedPageBreak/>
        <w:pict>
          <v:shape id="WS_polygon1" o:spid="_x0000_s1032" style="position:absolute;margin-left:40pt;margin-top:56.45pt;width:227.35pt;height:6.35pt;z-index:251662336;mso-position-horizontal-relative:page;mso-position-vertical-relative:page;mso-width-relative:page;mso-height-relative:page" coordsize="21600,21600" o:spt="100" adj="0,,0" path="m60,60r,l50422,60e" strokecolor="#656263" strokeweight="1pt">
            <v:fill opacity="0"/>
            <v:stroke dashstyle="dash" joinstyle="miter"/>
            <v:formulas/>
            <v:path o:connecttype="segments" textboxrect="3163,3163,18437,18437"/>
            <w10:wrap anchorx="page" anchory="page"/>
          </v:shape>
        </w:pict>
      </w:r>
    </w:p>
    <w:p w:rsidR="00806AA8" w:rsidRDefault="00D96F1A">
      <w:pPr>
        <w:tabs>
          <w:tab w:val="left" w:pos="3402"/>
        </w:tabs>
        <w:autoSpaceDE w:val="0"/>
        <w:autoSpaceDN w:val="0"/>
        <w:adjustRightInd w:val="0"/>
        <w:spacing w:after="0" w:line="360" w:lineRule="exact"/>
        <w:jc w:val="center"/>
        <w:rPr>
          <w:rFonts w:ascii="宋体" w:eastAsia="宋体" w:hAnsi="宋体" w:cs="宋体"/>
          <w:color w:val="231F20"/>
          <w:spacing w:val="-1"/>
          <w:sz w:val="36"/>
          <w:szCs w:val="36"/>
        </w:rPr>
      </w:pPr>
      <w:r>
        <w:rPr>
          <w:rFonts w:ascii="宋体" w:eastAsia="宋体" w:hAnsi="宋体" w:cs="宋体"/>
          <w:color w:val="231F20"/>
          <w:spacing w:val="-1"/>
          <w:sz w:val="36"/>
          <w:szCs w:val="36"/>
        </w:rPr>
        <w:t>期货市场</w:t>
      </w:r>
      <w:r>
        <w:rPr>
          <w:rFonts w:ascii="宋体" w:eastAsia="宋体" w:hAnsi="宋体" w:cs="宋体" w:hint="eastAsia"/>
          <w:color w:val="231F20"/>
          <w:spacing w:val="-1"/>
          <w:sz w:val="36"/>
          <w:szCs w:val="36"/>
        </w:rPr>
        <w:t>交易</w:t>
      </w:r>
      <w:r>
        <w:rPr>
          <w:rFonts w:ascii="宋体" w:eastAsia="宋体" w:hAnsi="宋体" w:cs="宋体"/>
          <w:color w:val="231F20"/>
          <w:spacing w:val="-1"/>
          <w:sz w:val="36"/>
          <w:szCs w:val="36"/>
        </w:rPr>
        <w:t>者销户申请表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284"/>
        <w:gridCol w:w="567"/>
        <w:gridCol w:w="583"/>
        <w:gridCol w:w="874"/>
        <w:gridCol w:w="964"/>
        <w:gridCol w:w="111"/>
        <w:gridCol w:w="1293"/>
        <w:gridCol w:w="427"/>
        <w:gridCol w:w="851"/>
        <w:gridCol w:w="992"/>
        <w:gridCol w:w="142"/>
        <w:gridCol w:w="1134"/>
      </w:tblGrid>
      <w:tr w:rsidR="00806AA8">
        <w:tc>
          <w:tcPr>
            <w:tcW w:w="1134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会员名称</w:t>
            </w:r>
          </w:p>
        </w:tc>
        <w:tc>
          <w:tcPr>
            <w:tcW w:w="9498" w:type="dxa"/>
            <w:gridSpan w:val="13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平安期货有限公司</w:t>
            </w:r>
          </w:p>
        </w:tc>
      </w:tr>
      <w:tr w:rsidR="00806AA8">
        <w:trPr>
          <w:trHeight w:val="559"/>
        </w:trPr>
        <w:tc>
          <w:tcPr>
            <w:tcW w:w="1134" w:type="dxa"/>
            <w:vMerge w:val="restart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</w:p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会</w:t>
            </w:r>
            <w:r>
              <w:rPr>
                <w:rFonts w:ascii="Calibri" w:hAnsi="Calibri" w:cs="Calibri"/>
                <w:color w:val="000000"/>
                <w:w w:val="217"/>
                <w:sz w:val="20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员</w:t>
            </w:r>
            <w:r>
              <w:rPr>
                <w:rFonts w:ascii="Calibri" w:hAnsi="Calibri" w:cs="Calibri"/>
                <w:color w:val="000000"/>
                <w:w w:val="217"/>
                <w:sz w:val="20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号</w:t>
            </w:r>
          </w:p>
        </w:tc>
        <w:tc>
          <w:tcPr>
            <w:tcW w:w="1276" w:type="dxa"/>
          </w:tcPr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上海期货</w:t>
            </w:r>
          </w:p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交易所</w:t>
            </w:r>
          </w:p>
        </w:tc>
        <w:tc>
          <w:tcPr>
            <w:tcW w:w="851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0288</w:t>
            </w:r>
          </w:p>
        </w:tc>
        <w:tc>
          <w:tcPr>
            <w:tcW w:w="1457" w:type="dxa"/>
            <w:gridSpan w:val="2"/>
          </w:tcPr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大连商品</w:t>
            </w:r>
          </w:p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交易所</w:t>
            </w:r>
          </w:p>
        </w:tc>
        <w:tc>
          <w:tcPr>
            <w:tcW w:w="1075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0203</w:t>
            </w:r>
          </w:p>
        </w:tc>
        <w:tc>
          <w:tcPr>
            <w:tcW w:w="1293" w:type="dxa"/>
          </w:tcPr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郑州商品</w:t>
            </w:r>
          </w:p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交易所</w:t>
            </w:r>
          </w:p>
        </w:tc>
        <w:tc>
          <w:tcPr>
            <w:tcW w:w="1278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0278</w:t>
            </w:r>
          </w:p>
        </w:tc>
        <w:tc>
          <w:tcPr>
            <w:tcW w:w="1134" w:type="dxa"/>
            <w:gridSpan w:val="2"/>
          </w:tcPr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广州期货</w:t>
            </w:r>
          </w:p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交易所</w:t>
            </w:r>
          </w:p>
        </w:tc>
        <w:tc>
          <w:tcPr>
            <w:tcW w:w="1134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0100</w:t>
            </w:r>
          </w:p>
        </w:tc>
      </w:tr>
      <w:tr w:rsidR="00806AA8">
        <w:trPr>
          <w:trHeight w:val="558"/>
        </w:trPr>
        <w:tc>
          <w:tcPr>
            <w:tcW w:w="1134" w:type="dxa"/>
            <w:vMerge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276" w:type="dxa"/>
          </w:tcPr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中国金融期货交易所</w:t>
            </w:r>
          </w:p>
        </w:tc>
        <w:tc>
          <w:tcPr>
            <w:tcW w:w="851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0105</w:t>
            </w:r>
          </w:p>
        </w:tc>
        <w:tc>
          <w:tcPr>
            <w:tcW w:w="1457" w:type="dxa"/>
            <w:gridSpan w:val="2"/>
          </w:tcPr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上海国际</w:t>
            </w:r>
          </w:p>
          <w:p w:rsidR="00806AA8" w:rsidRDefault="00D96F1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能源交易所</w:t>
            </w:r>
          </w:p>
        </w:tc>
        <w:tc>
          <w:tcPr>
            <w:tcW w:w="1075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8288</w:t>
            </w:r>
          </w:p>
        </w:tc>
        <w:tc>
          <w:tcPr>
            <w:tcW w:w="1293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  <w:sz w:val="18"/>
                <w:szCs w:val="18"/>
              </w:rPr>
              <w:t>期权权限</w:t>
            </w:r>
          </w:p>
        </w:tc>
        <w:tc>
          <w:tcPr>
            <w:tcW w:w="3546" w:type="dxa"/>
            <w:gridSpan w:val="5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□是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</w:tr>
      <w:tr w:rsidR="00806AA8">
        <w:tc>
          <w:tcPr>
            <w:tcW w:w="1134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单位名称</w:t>
            </w:r>
          </w:p>
        </w:tc>
        <w:tc>
          <w:tcPr>
            <w:tcW w:w="4659" w:type="dxa"/>
            <w:gridSpan w:val="7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293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营业执照号</w:t>
            </w:r>
          </w:p>
        </w:tc>
        <w:tc>
          <w:tcPr>
            <w:tcW w:w="3546" w:type="dxa"/>
            <w:gridSpan w:val="5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</w:tr>
      <w:tr w:rsidR="00806AA8">
        <w:tc>
          <w:tcPr>
            <w:tcW w:w="1134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产品名称</w:t>
            </w:r>
          </w:p>
        </w:tc>
        <w:tc>
          <w:tcPr>
            <w:tcW w:w="4659" w:type="dxa"/>
            <w:gridSpan w:val="7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293" w:type="dxa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资金账号</w:t>
            </w:r>
          </w:p>
        </w:tc>
        <w:tc>
          <w:tcPr>
            <w:tcW w:w="3546" w:type="dxa"/>
            <w:gridSpan w:val="5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</w:tr>
      <w:tr w:rsidR="00806AA8">
        <w:trPr>
          <w:trHeight w:val="2095"/>
        </w:trPr>
        <w:tc>
          <w:tcPr>
            <w:tcW w:w="10632" w:type="dxa"/>
            <w:gridSpan w:val="14"/>
          </w:tcPr>
          <w:p w:rsidR="00806AA8" w:rsidRDefault="00D96F1A">
            <w:pPr>
              <w:spacing w:after="0" w:line="290" w:lineRule="exact"/>
              <w:ind w:left="57" w:right="-239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销户原因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（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由</w:t>
            </w:r>
            <w:r>
              <w:rPr>
                <w:rFonts w:ascii="宋体" w:hAnsi="宋体" w:cs="宋体" w:hint="eastAsia"/>
                <w:color w:val="231F20"/>
                <w:spacing w:val="-1"/>
                <w:sz w:val="20"/>
              </w:rPr>
              <w:t>交易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者或会员单位画圈选择</w:t>
            </w:r>
            <w:r>
              <w:rPr>
                <w:rFonts w:ascii="宋体" w:hAnsi="宋体" w:cs="宋体" w:hint="eastAsia"/>
                <w:color w:val="231F20"/>
                <w:spacing w:val="-1"/>
                <w:sz w:val="20"/>
              </w:rPr>
              <w:t>）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：</w:t>
            </w:r>
          </w:p>
          <w:p w:rsidR="00806AA8" w:rsidRDefault="00D96F1A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1.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交易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者个案资料有误的；</w:t>
            </w:r>
          </w:p>
          <w:p w:rsidR="00806AA8" w:rsidRDefault="00D96F1A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2.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交易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者在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期货公司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已办理销户手续的；</w:t>
            </w:r>
          </w:p>
          <w:p w:rsidR="00806AA8" w:rsidRDefault="00D96F1A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3.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被认定为市场禁入者的；</w:t>
            </w:r>
          </w:p>
          <w:p w:rsidR="00806AA8" w:rsidRDefault="00D96F1A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4.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交易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者未办理撤户手续，但一年以上未发生任何交易的；</w:t>
            </w:r>
          </w:p>
          <w:p w:rsidR="00806AA8" w:rsidRDefault="00D96F1A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5.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在交易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场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所规定的期限内不能补充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交易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者交易编码资料的；</w:t>
            </w:r>
          </w:p>
          <w:p w:rsidR="00806AA8" w:rsidRDefault="00D96F1A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6.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其他。</w:t>
            </w:r>
          </w:p>
        </w:tc>
      </w:tr>
      <w:tr w:rsidR="00806AA8">
        <w:trPr>
          <w:trHeight w:val="2095"/>
        </w:trPr>
        <w:tc>
          <w:tcPr>
            <w:tcW w:w="10632" w:type="dxa"/>
            <w:gridSpan w:val="14"/>
          </w:tcPr>
          <w:p w:rsidR="00806AA8" w:rsidRDefault="00D96F1A">
            <w:pPr>
              <w:spacing w:after="0" w:line="520" w:lineRule="exact"/>
              <w:ind w:left="60" w:firstLine="3731"/>
            </w:pPr>
            <w:r>
              <w:rPr>
                <w:rFonts w:ascii="宋体" w:eastAsia="宋体" w:hAnsi="宋体" w:cs="宋体"/>
                <w:color w:val="231F20"/>
                <w:spacing w:val="-1"/>
                <w:sz w:val="38"/>
              </w:rPr>
              <w:t>销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38"/>
              </w:rPr>
              <w:t>户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38"/>
              </w:rPr>
              <w:t>确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38"/>
              </w:rPr>
              <w:t>认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eastAsia="宋体" w:hAnsi="宋体" w:cs="宋体"/>
                <w:color w:val="231F20"/>
                <w:spacing w:val="-1"/>
                <w:sz w:val="38"/>
              </w:rPr>
              <w:t>书</w:t>
            </w:r>
          </w:p>
          <w:p w:rsidR="00806AA8" w:rsidRDefault="00D96F1A">
            <w:pPr>
              <w:spacing w:after="0" w:line="260" w:lineRule="exact"/>
              <w:ind w:left="60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平安期货有限公司：</w:t>
            </w:r>
          </w:p>
          <w:p w:rsidR="00806AA8" w:rsidRDefault="00D96F1A">
            <w:pPr>
              <w:tabs>
                <w:tab w:val="left" w:pos="4104"/>
                <w:tab w:val="left" w:pos="5097"/>
              </w:tabs>
              <w:spacing w:after="0" w:line="312" w:lineRule="exact"/>
              <w:ind w:left="60" w:firstLine="411"/>
              <w:jc w:val="both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本公司正式申请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注销下述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期货交易</w:t>
            </w:r>
            <w:r>
              <w:rPr>
                <w:rFonts w:ascii="宋体" w:hAnsi="宋体" w:cs="宋体" w:hint="eastAsia"/>
                <w:color w:val="231F20"/>
                <w:spacing w:val="-1"/>
                <w:sz w:val="20"/>
              </w:rPr>
              <w:t>场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所的交易编码</w:t>
            </w:r>
            <w:r>
              <w:rPr>
                <w:rFonts w:ascii="宋体" w:hAnsi="宋体" w:cs="宋体" w:hint="eastAsia"/>
                <w:color w:val="231F20"/>
                <w:spacing w:val="-1"/>
                <w:sz w:val="20"/>
              </w:rPr>
              <w:t>并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终止与贵公司委托代理事宜，</w:t>
            </w:r>
            <w:r>
              <w:rPr>
                <w:rFonts w:ascii="宋体" w:eastAsia="宋体" w:hAnsi="宋体" w:cs="宋体" w:hint="eastAsia"/>
                <w:color w:val="231F20"/>
                <w:sz w:val="20"/>
              </w:rPr>
              <w:t>经贵</w:t>
            </w:r>
            <w:r>
              <w:rPr>
                <w:rFonts w:ascii="宋体" w:eastAsia="宋体" w:hAnsi="宋体" w:cs="宋体"/>
                <w:color w:val="231F20"/>
                <w:sz w:val="20"/>
              </w:rPr>
              <w:t>公司代理进行的期货交易行为都是本公司意愿之体现，交易结算结果确认无误，帐户资金为零，与贵公司</w:t>
            </w: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不存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在任何债权债务关系及其它任何纠纷，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本公司对上述内容负全部责任，绝无异议。</w:t>
            </w:r>
          </w:p>
          <w:p w:rsidR="00806AA8" w:rsidRDefault="00D96F1A">
            <w:pPr>
              <w:spacing w:after="0" w:line="300" w:lineRule="exact"/>
              <w:ind w:left="60" w:firstLine="394"/>
            </w:pPr>
            <w:r>
              <w:rPr>
                <w:rFonts w:ascii="宋体" w:hAnsi="宋体" w:cs="宋体"/>
                <w:color w:val="231F20"/>
                <w:spacing w:val="-1"/>
                <w:sz w:val="20"/>
              </w:rPr>
              <w:t>特在此予以确认。本销户确认书自贵公司确认之日起生效。</w:t>
            </w:r>
          </w:p>
          <w:p w:rsidR="00806AA8" w:rsidRDefault="00806AA8">
            <w:pPr>
              <w:spacing w:after="0" w:line="300" w:lineRule="exact"/>
              <w:ind w:left="60" w:firstLine="405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</w:p>
          <w:p w:rsidR="00806AA8" w:rsidRDefault="00D96F1A">
            <w:pPr>
              <w:spacing w:after="0" w:line="300" w:lineRule="exact"/>
              <w:ind w:left="60" w:firstLine="405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注：自您提交销户申请之日起，若您一周内未到银行取消银期关系，我司将自行处理，按照相关规定，由此造成</w:t>
            </w:r>
          </w:p>
          <w:p w:rsidR="00806AA8" w:rsidRDefault="00D96F1A">
            <w:pPr>
              <w:spacing w:after="0" w:line="300" w:lineRule="exact"/>
              <w:ind w:left="60"/>
            </w:pPr>
            <w:r>
              <w:rPr>
                <w:rFonts w:ascii="宋体" w:hAnsi="宋体" w:cs="宋体"/>
                <w:color w:val="231F20"/>
                <w:spacing w:val="-1"/>
                <w:sz w:val="20"/>
              </w:rPr>
              <w:t>的损失将由您自行承担。</w:t>
            </w:r>
          </w:p>
          <w:p w:rsidR="00806AA8" w:rsidRDefault="00806AA8">
            <w:pPr>
              <w:spacing w:after="0" w:line="380" w:lineRule="exact"/>
              <w:ind w:right="-239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</w:p>
          <w:p w:rsidR="00806AA8" w:rsidRDefault="00806AA8">
            <w:pPr>
              <w:spacing w:after="0" w:line="380" w:lineRule="exact"/>
              <w:ind w:left="57" w:right="-239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</w:p>
          <w:p w:rsidR="00806AA8" w:rsidRDefault="00806AA8">
            <w:pPr>
              <w:spacing w:after="0" w:line="380" w:lineRule="exact"/>
              <w:ind w:left="57" w:right="-239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</w:p>
          <w:p w:rsidR="00806AA8" w:rsidRDefault="00D96F1A">
            <w:pPr>
              <w:spacing w:after="0" w:line="290" w:lineRule="exact"/>
              <w:ind w:left="57" w:right="-239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客户签字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申请单位盖章：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申请日期：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 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年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月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日</w:t>
            </w:r>
          </w:p>
        </w:tc>
      </w:tr>
      <w:tr w:rsidR="00806AA8">
        <w:tc>
          <w:tcPr>
            <w:tcW w:w="10632" w:type="dxa"/>
            <w:gridSpan w:val="14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同意销户记录（会员填写）</w:t>
            </w:r>
          </w:p>
        </w:tc>
      </w:tr>
      <w:tr w:rsidR="00806AA8">
        <w:trPr>
          <w:trHeight w:val="294"/>
        </w:trPr>
        <w:tc>
          <w:tcPr>
            <w:tcW w:w="1134" w:type="dxa"/>
            <w:vMerge w:val="restart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 w:hint="eastAsia"/>
                <w:color w:val="231F20"/>
                <w:spacing w:val="-1"/>
                <w:sz w:val="20"/>
              </w:rPr>
              <w:t>交易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者</w:t>
            </w:r>
          </w:p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交易编码</w:t>
            </w:r>
          </w:p>
        </w:tc>
        <w:tc>
          <w:tcPr>
            <w:tcW w:w="1560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sz w:val="18"/>
                <w:szCs w:val="18"/>
              </w:rPr>
              <w:t>上海期货交易所</w:t>
            </w:r>
          </w:p>
        </w:tc>
        <w:tc>
          <w:tcPr>
            <w:tcW w:w="1150" w:type="dxa"/>
            <w:gridSpan w:val="2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  <w:tc>
          <w:tcPr>
            <w:tcW w:w="1838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sz w:val="18"/>
                <w:szCs w:val="18"/>
              </w:rPr>
              <w:t>大连商品交易所</w:t>
            </w:r>
          </w:p>
        </w:tc>
        <w:tc>
          <w:tcPr>
            <w:tcW w:w="1831" w:type="dxa"/>
            <w:gridSpan w:val="3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  <w:tc>
          <w:tcPr>
            <w:tcW w:w="1843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sz w:val="18"/>
                <w:szCs w:val="18"/>
              </w:rPr>
              <w:t>郑州商品交易所</w:t>
            </w:r>
          </w:p>
        </w:tc>
        <w:tc>
          <w:tcPr>
            <w:tcW w:w="1276" w:type="dxa"/>
            <w:gridSpan w:val="2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</w:tr>
      <w:tr w:rsidR="00806AA8">
        <w:trPr>
          <w:trHeight w:val="294"/>
        </w:trPr>
        <w:tc>
          <w:tcPr>
            <w:tcW w:w="1134" w:type="dxa"/>
            <w:vMerge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560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广</w:t>
            </w:r>
            <w:r>
              <w:rPr>
                <w:rFonts w:hint="eastAsia"/>
                <w:sz w:val="18"/>
                <w:szCs w:val="18"/>
              </w:rPr>
              <w:t>州期货交易所</w:t>
            </w:r>
          </w:p>
        </w:tc>
        <w:tc>
          <w:tcPr>
            <w:tcW w:w="1150" w:type="dxa"/>
            <w:gridSpan w:val="2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  <w:tc>
          <w:tcPr>
            <w:tcW w:w="1838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sz w:val="18"/>
                <w:szCs w:val="18"/>
              </w:rPr>
              <w:t>中国金融期货交易所</w:t>
            </w:r>
          </w:p>
        </w:tc>
        <w:tc>
          <w:tcPr>
            <w:tcW w:w="1831" w:type="dxa"/>
            <w:gridSpan w:val="3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上海国际能源交易所</w:t>
            </w:r>
          </w:p>
        </w:tc>
        <w:tc>
          <w:tcPr>
            <w:tcW w:w="1276" w:type="dxa"/>
            <w:gridSpan w:val="2"/>
          </w:tcPr>
          <w:p w:rsidR="00806AA8" w:rsidRDefault="00806AA8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</w:tr>
      <w:tr w:rsidR="00806AA8">
        <w:trPr>
          <w:trHeight w:val="1221"/>
        </w:trPr>
        <w:tc>
          <w:tcPr>
            <w:tcW w:w="10632" w:type="dxa"/>
            <w:gridSpan w:val="14"/>
          </w:tcPr>
          <w:p w:rsidR="00806AA8" w:rsidRDefault="00D96F1A">
            <w:pPr>
              <w:spacing w:after="0" w:line="342" w:lineRule="exact"/>
              <w:ind w:right="-239"/>
              <w:rPr>
                <w:rFonts w:ascii="宋体" w:eastAsia="宋体" w:hAnsi="宋体" w:cs="宋体"/>
                <w:color w:val="231F20"/>
                <w:spacing w:val="-1"/>
                <w:sz w:val="20"/>
              </w:rPr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审批意见：</w:t>
            </w:r>
          </w:p>
          <w:p w:rsidR="00806AA8" w:rsidRDefault="00806AA8">
            <w:pPr>
              <w:spacing w:after="0" w:line="342" w:lineRule="exact"/>
              <w:ind w:left="57" w:right="-239"/>
            </w:pPr>
          </w:p>
          <w:p w:rsidR="00806AA8" w:rsidRDefault="00D96F1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会员盖章：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 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负责人签字：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审批日期：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  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年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月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  </w:t>
            </w:r>
            <w:r>
              <w:rPr>
                <w:rFonts w:ascii="宋体" w:eastAsia="宋体" w:hAnsi="宋体" w:cs="宋体"/>
                <w:color w:val="231F20"/>
                <w:spacing w:val="-1"/>
                <w:sz w:val="20"/>
              </w:rPr>
              <w:t>日</w:t>
            </w:r>
          </w:p>
        </w:tc>
      </w:tr>
    </w:tbl>
    <w:p w:rsidR="00D96F1A" w:rsidRDefault="00D96F1A" w:rsidP="00D96F1A">
      <w:pPr>
        <w:tabs>
          <w:tab w:val="left" w:pos="4203"/>
          <w:tab w:val="left" w:pos="6144"/>
        </w:tabs>
        <w:spacing w:after="0" w:line="380" w:lineRule="exact"/>
        <w:rPr>
          <w:rFonts w:ascii="宋体" w:eastAsia="宋体" w:hAnsi="宋体" w:cs="宋体"/>
          <w:color w:val="231F20"/>
          <w:spacing w:val="-1"/>
          <w:sz w:val="20"/>
        </w:rPr>
      </w:pPr>
      <w:bookmarkStart w:id="1" w:name="_GoBack"/>
      <w:bookmarkEnd w:id="1"/>
      <w:r>
        <w:rPr>
          <w:rFonts w:ascii="宋体" w:eastAsia="宋体" w:hAnsi="宋体" w:cs="宋体" w:hint="eastAsia"/>
          <w:color w:val="231F20"/>
          <w:spacing w:val="-1"/>
          <w:sz w:val="20"/>
        </w:rPr>
        <w:t>客户服务与交易部意见</w:t>
      </w:r>
      <w:r>
        <w:rPr>
          <w:rFonts w:ascii="宋体" w:eastAsia="宋体" w:hAnsi="宋体" w:cs="宋体"/>
          <w:color w:val="231F20"/>
          <w:spacing w:val="-1"/>
          <w:sz w:val="20"/>
        </w:rPr>
        <w:t>：</w:t>
      </w:r>
      <w:r>
        <w:rPr>
          <w:rFonts w:cs="Calibri"/>
          <w:color w:val="000000"/>
        </w:rPr>
        <w:tab/>
      </w:r>
      <w:r>
        <w:rPr>
          <w:rFonts w:ascii="宋体" w:eastAsia="宋体" w:hAnsi="宋体" w:cs="宋体" w:hint="eastAsia"/>
          <w:color w:val="231F20"/>
          <w:spacing w:val="-1"/>
          <w:sz w:val="20"/>
        </w:rPr>
        <w:t>运营管理部意见：</w:t>
      </w:r>
    </w:p>
    <w:p w:rsidR="00806AA8" w:rsidRPr="00D96F1A" w:rsidRDefault="00806AA8">
      <w:pPr>
        <w:tabs>
          <w:tab w:val="left" w:pos="3030"/>
          <w:tab w:val="left" w:pos="6144"/>
        </w:tabs>
        <w:spacing w:after="0" w:line="380" w:lineRule="exact"/>
        <w:rPr>
          <w:rFonts w:ascii="宋体" w:eastAsia="宋体" w:hAnsi="宋体" w:cs="宋体"/>
          <w:color w:val="231F20"/>
          <w:spacing w:val="-1"/>
          <w:sz w:val="20"/>
        </w:rPr>
      </w:pPr>
    </w:p>
    <w:p w:rsidR="00806AA8" w:rsidRDefault="00D96F1A">
      <w:pPr>
        <w:tabs>
          <w:tab w:val="left" w:pos="3030"/>
          <w:tab w:val="left" w:pos="6144"/>
        </w:tabs>
        <w:spacing w:after="0" w:line="380" w:lineRule="exact"/>
        <w:rPr>
          <w:rFonts w:ascii="宋体" w:eastAsia="宋体" w:hAnsi="宋体" w:cs="宋体"/>
          <w:color w:val="231F20"/>
          <w:spacing w:val="-1"/>
          <w:sz w:val="20"/>
        </w:rPr>
      </w:pPr>
      <w:r>
        <w:rPr>
          <w:rFonts w:ascii="宋体" w:eastAsia="宋体" w:hAnsi="宋体" w:cs="宋体" w:hint="eastAsia"/>
          <w:color w:val="231F20"/>
          <w:spacing w:val="-1"/>
          <w:sz w:val="20"/>
        </w:rPr>
        <w:t>销户执行人：</w:t>
      </w:r>
      <w:r>
        <w:rPr>
          <w:rFonts w:ascii="宋体" w:eastAsia="宋体" w:hAnsi="宋体" w:cs="宋体" w:hint="eastAsia"/>
          <w:color w:val="231F20"/>
          <w:spacing w:val="-1"/>
          <w:sz w:val="20"/>
        </w:rPr>
        <w:t xml:space="preserve"> </w:t>
      </w:r>
      <w:r>
        <w:rPr>
          <w:rFonts w:ascii="宋体" w:eastAsia="宋体" w:hAnsi="宋体" w:cs="宋体"/>
          <w:color w:val="231F20"/>
          <w:spacing w:val="-1"/>
          <w:sz w:val="20"/>
        </w:rPr>
        <w:t xml:space="preserve">                  </w:t>
      </w:r>
      <w:r>
        <w:rPr>
          <w:rFonts w:ascii="宋体" w:eastAsia="宋体" w:hAnsi="宋体" w:cs="宋体" w:hint="eastAsia"/>
          <w:color w:val="231F20"/>
          <w:spacing w:val="-1"/>
          <w:sz w:val="20"/>
        </w:rPr>
        <w:t>复核人：</w:t>
      </w:r>
      <w:r>
        <w:rPr>
          <w:rFonts w:ascii="宋体" w:eastAsia="宋体" w:hAnsi="宋体" w:cs="宋体" w:hint="eastAsia"/>
          <w:color w:val="231F20"/>
          <w:spacing w:val="-1"/>
          <w:sz w:val="20"/>
        </w:rPr>
        <w:t xml:space="preserve"> </w:t>
      </w:r>
      <w:r>
        <w:rPr>
          <w:rFonts w:ascii="宋体" w:eastAsia="宋体" w:hAnsi="宋体" w:cs="宋体"/>
          <w:color w:val="231F20"/>
          <w:spacing w:val="-1"/>
          <w:sz w:val="20"/>
        </w:rPr>
        <w:t xml:space="preserve">                   </w:t>
      </w:r>
      <w:r>
        <w:rPr>
          <w:rFonts w:ascii="宋体" w:eastAsia="宋体" w:hAnsi="宋体" w:cs="宋体" w:hint="eastAsia"/>
          <w:color w:val="231F20"/>
          <w:spacing w:val="-1"/>
          <w:sz w:val="20"/>
        </w:rPr>
        <w:t>销户日期：</w:t>
      </w:r>
    </w:p>
    <w:p w:rsidR="00806AA8" w:rsidRDefault="00806AA8">
      <w:pPr>
        <w:tabs>
          <w:tab w:val="left" w:pos="3030"/>
          <w:tab w:val="left" w:pos="6144"/>
        </w:tabs>
        <w:spacing w:after="0" w:line="380" w:lineRule="exact"/>
      </w:pPr>
    </w:p>
    <w:sectPr w:rsidR="00806AA8">
      <w:type w:val="continuous"/>
      <w:pgSz w:w="11906" w:h="16725"/>
      <w:pgMar w:top="818" w:right="430" w:bottom="578" w:left="790" w:header="0" w:footer="0" w:gutter="0"/>
      <w:cols w:space="720" w:equalWidth="0">
        <w:col w:w="10685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A8" w:rsidRDefault="00D96F1A">
      <w:pPr>
        <w:spacing w:line="240" w:lineRule="auto"/>
      </w:pPr>
      <w:r>
        <w:separator/>
      </w:r>
    </w:p>
  </w:endnote>
  <w:endnote w:type="continuationSeparator" w:id="0">
    <w:p w:rsidR="00806AA8" w:rsidRDefault="00D96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A8" w:rsidRDefault="00D96F1A">
      <w:pPr>
        <w:spacing w:after="0"/>
      </w:pPr>
      <w:r>
        <w:separator/>
      </w:r>
    </w:p>
  </w:footnote>
  <w:footnote w:type="continuationSeparator" w:id="0">
    <w:p w:rsidR="00806AA8" w:rsidRDefault="00D96F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ODI4MmFmYWMwMmYxYzExYmM5NWVjODAxODNmOTkifQ=="/>
  </w:docVars>
  <w:rsids>
    <w:rsidRoot w:val="00325E2F"/>
    <w:rsid w:val="00017E66"/>
    <w:rsid w:val="000277E0"/>
    <w:rsid w:val="00030CF0"/>
    <w:rsid w:val="0003273C"/>
    <w:rsid w:val="00065797"/>
    <w:rsid w:val="00185284"/>
    <w:rsid w:val="001901B0"/>
    <w:rsid w:val="00233A2E"/>
    <w:rsid w:val="00254410"/>
    <w:rsid w:val="00262EC5"/>
    <w:rsid w:val="00266935"/>
    <w:rsid w:val="002A02CA"/>
    <w:rsid w:val="002D798D"/>
    <w:rsid w:val="00325E2F"/>
    <w:rsid w:val="003714A3"/>
    <w:rsid w:val="003B3244"/>
    <w:rsid w:val="003D107E"/>
    <w:rsid w:val="003F4CE2"/>
    <w:rsid w:val="00450235"/>
    <w:rsid w:val="00461BF3"/>
    <w:rsid w:val="004A7FE0"/>
    <w:rsid w:val="004B0564"/>
    <w:rsid w:val="004B24A9"/>
    <w:rsid w:val="004B7886"/>
    <w:rsid w:val="004D7551"/>
    <w:rsid w:val="004F71B7"/>
    <w:rsid w:val="00513EDA"/>
    <w:rsid w:val="005C4B29"/>
    <w:rsid w:val="005C547F"/>
    <w:rsid w:val="00650B16"/>
    <w:rsid w:val="00691735"/>
    <w:rsid w:val="006B00FF"/>
    <w:rsid w:val="00747F5E"/>
    <w:rsid w:val="0075540A"/>
    <w:rsid w:val="007F1C1F"/>
    <w:rsid w:val="00806AA8"/>
    <w:rsid w:val="00827806"/>
    <w:rsid w:val="0084196A"/>
    <w:rsid w:val="00855C49"/>
    <w:rsid w:val="00872BF7"/>
    <w:rsid w:val="008D48BD"/>
    <w:rsid w:val="008E0584"/>
    <w:rsid w:val="0090360E"/>
    <w:rsid w:val="00903F86"/>
    <w:rsid w:val="009766B7"/>
    <w:rsid w:val="0099106B"/>
    <w:rsid w:val="009C22C6"/>
    <w:rsid w:val="00AC233C"/>
    <w:rsid w:val="00AD5C22"/>
    <w:rsid w:val="00AE1814"/>
    <w:rsid w:val="00B04321"/>
    <w:rsid w:val="00B7162C"/>
    <w:rsid w:val="00B76FD3"/>
    <w:rsid w:val="00B83CF9"/>
    <w:rsid w:val="00BC41DA"/>
    <w:rsid w:val="00C057A7"/>
    <w:rsid w:val="00C115BA"/>
    <w:rsid w:val="00C146A9"/>
    <w:rsid w:val="00C50912"/>
    <w:rsid w:val="00C51E07"/>
    <w:rsid w:val="00C61BF8"/>
    <w:rsid w:val="00CD42FF"/>
    <w:rsid w:val="00CF0EAF"/>
    <w:rsid w:val="00D032EC"/>
    <w:rsid w:val="00D354B5"/>
    <w:rsid w:val="00D72388"/>
    <w:rsid w:val="00D96F1A"/>
    <w:rsid w:val="00DA3BBF"/>
    <w:rsid w:val="00E41035"/>
    <w:rsid w:val="00E62498"/>
    <w:rsid w:val="00EB265B"/>
    <w:rsid w:val="00EF1BF3"/>
    <w:rsid w:val="00F13F0A"/>
    <w:rsid w:val="00F16121"/>
    <w:rsid w:val="00F2456C"/>
    <w:rsid w:val="00F3275C"/>
    <w:rsid w:val="00F704F1"/>
    <w:rsid w:val="00F707E1"/>
    <w:rsid w:val="00FB2116"/>
    <w:rsid w:val="00FB57AE"/>
    <w:rsid w:val="00FC7843"/>
    <w:rsid w:val="215743E3"/>
    <w:rsid w:val="23B51EDC"/>
    <w:rsid w:val="3A443B62"/>
    <w:rsid w:val="3B057795"/>
    <w:rsid w:val="4ED2272D"/>
    <w:rsid w:val="5D015114"/>
    <w:rsid w:val="664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26EC2B"/>
  <w15:docId w15:val="{C2978CE5-A0A4-4372-9076-4F9FBEA1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No Spacing"/>
    <w:uiPriority w:val="1"/>
    <w:qFormat/>
    <w:pPr>
      <w:widowControl w:val="0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6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141</Words>
  <Characters>807</Characters>
  <Application>Microsoft Office Word</Application>
  <DocSecurity>0</DocSecurity>
  <Lines>6</Lines>
  <Paragraphs>1</Paragraphs>
  <ScaleCrop>false</ScaleCrop>
  <Company>中国平安保险(集团)股份有限公司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shuaiyaling916</dc:creator>
  <cp:lastModifiedBy>paqh</cp:lastModifiedBy>
  <cp:revision>76</cp:revision>
  <dcterms:created xsi:type="dcterms:W3CDTF">2017-04-17T11:16:00Z</dcterms:created>
  <dcterms:modified xsi:type="dcterms:W3CDTF">2025-03-31T08:02:00Z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EFACF82F3CC54CC193380C887B7E27F8</vt:lpwstr>
  </property>
</Properties>
</file>