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86954">
      <w:pPr>
        <w:spacing w:line="360" w:lineRule="auto"/>
        <w:rPr>
          <w:rFonts w:eastAsia="黑体"/>
          <w:sz w:val="32"/>
          <w:szCs w:val="32"/>
        </w:rPr>
      </w:pPr>
      <w:bookmarkStart w:id="2" w:name="_GoBack"/>
      <w:bookmarkEnd w:id="2"/>
      <w:r>
        <w:rPr>
          <w:rFonts w:eastAsia="黑体"/>
          <w:sz w:val="32"/>
          <w:szCs w:val="32"/>
        </w:rPr>
        <w:t>附件2</w:t>
      </w:r>
    </w:p>
    <w:p w14:paraId="6BD2F0A0">
      <w:pPr>
        <w:jc w:val="center"/>
        <w:outlineLvl w:val="0"/>
        <w:rPr>
          <w:rFonts w:eastAsia="黑体"/>
          <w:color w:val="000000"/>
          <w:sz w:val="32"/>
          <w:szCs w:val="32"/>
        </w:rPr>
      </w:pPr>
      <w:r>
        <w:rPr>
          <w:rFonts w:hint="eastAsia" w:eastAsia="黑体"/>
          <w:color w:val="000000"/>
          <w:sz w:val="32"/>
          <w:szCs w:val="32"/>
        </w:rPr>
        <w:t>平安银行</w:t>
      </w:r>
      <w:r>
        <w:rPr>
          <w:rFonts w:eastAsia="黑体"/>
          <w:color w:val="000000"/>
          <w:sz w:val="32"/>
          <w:szCs w:val="32"/>
        </w:rPr>
        <w:t>银企直联服务协议</w:t>
      </w:r>
      <w:r>
        <w:rPr>
          <w:rFonts w:hint="eastAsia" w:eastAsia="黑体"/>
          <w:color w:val="000000"/>
          <w:sz w:val="32"/>
          <w:szCs w:val="32"/>
        </w:rPr>
        <w:t>（生态合作方）</w:t>
      </w:r>
    </w:p>
    <w:p w14:paraId="477923EB">
      <w:r>
        <w:tab/>
      </w:r>
      <w:r>
        <w:tab/>
      </w:r>
      <w:r>
        <w:tab/>
      </w:r>
      <w:r>
        <w:tab/>
      </w:r>
      <w:r>
        <w:tab/>
      </w:r>
      <w:r>
        <w:tab/>
      </w:r>
      <w:r>
        <w:tab/>
      </w:r>
      <w:r>
        <w:tab/>
      </w:r>
      <w:r>
        <w:tab/>
      </w:r>
    </w:p>
    <w:p w14:paraId="726D5A49">
      <w:pPr>
        <w:spacing w:line="360" w:lineRule="auto"/>
        <w:rPr>
          <w:b/>
          <w:bCs/>
          <w:szCs w:val="21"/>
        </w:rPr>
      </w:pPr>
    </w:p>
    <w:p w14:paraId="44B5E066">
      <w:pPr>
        <w:spacing w:line="360" w:lineRule="auto"/>
        <w:ind w:firstLine="560"/>
        <w:rPr>
          <w:color w:val="000000"/>
          <w:sz w:val="24"/>
          <w:u w:val="single"/>
        </w:rPr>
      </w:pPr>
      <w:r>
        <w:rPr>
          <w:color w:val="000000"/>
          <w:sz w:val="24"/>
        </w:rPr>
        <w:t>甲方（全称）：平安银行</w:t>
      </w:r>
      <w:r>
        <w:rPr>
          <w:color w:val="000000"/>
          <w:sz w:val="24"/>
          <w:u w:val="single"/>
        </w:rPr>
        <w:t xml:space="preserve">                          </w:t>
      </w:r>
    </w:p>
    <w:p w14:paraId="283F1B94">
      <w:pPr>
        <w:spacing w:line="360" w:lineRule="auto"/>
        <w:ind w:firstLine="560"/>
        <w:rPr>
          <w:color w:val="000000"/>
          <w:sz w:val="24"/>
          <w:u w:val="single"/>
        </w:rPr>
      </w:pPr>
      <w:r>
        <w:rPr>
          <w:color w:val="000000"/>
          <w:sz w:val="24"/>
        </w:rPr>
        <w:t>地址：</w:t>
      </w:r>
      <w:r>
        <w:rPr>
          <w:color w:val="000000"/>
          <w:sz w:val="24"/>
          <w:u w:val="single"/>
        </w:rPr>
        <w:t xml:space="preserve">                                             </w:t>
      </w:r>
    </w:p>
    <w:p w14:paraId="49D1FD01">
      <w:pPr>
        <w:spacing w:line="360" w:lineRule="auto"/>
        <w:ind w:firstLine="560"/>
        <w:rPr>
          <w:color w:val="000000"/>
          <w:sz w:val="24"/>
          <w:u w:val="single"/>
        </w:rPr>
      </w:pPr>
      <w:r>
        <w:rPr>
          <w:color w:val="000000"/>
          <w:sz w:val="24"/>
        </w:rPr>
        <w:t>负责人</w:t>
      </w:r>
      <w:r>
        <w:rPr>
          <w:rFonts w:hint="eastAsia"/>
          <w:color w:val="000000"/>
          <w:sz w:val="24"/>
        </w:rPr>
        <w:t>：</w:t>
      </w:r>
      <w:r>
        <w:rPr>
          <w:color w:val="000000"/>
          <w:sz w:val="24"/>
          <w:u w:val="single"/>
        </w:rPr>
        <w:t xml:space="preserve">                         </w:t>
      </w:r>
      <w:r>
        <w:rPr>
          <w:color w:val="000000"/>
          <w:sz w:val="24"/>
        </w:rPr>
        <w:t xml:space="preserve"> 邮编：</w:t>
      </w:r>
      <w:r>
        <w:rPr>
          <w:color w:val="000000"/>
          <w:sz w:val="24"/>
          <w:u w:val="single"/>
        </w:rPr>
        <w:t xml:space="preserve">           </w:t>
      </w:r>
    </w:p>
    <w:p w14:paraId="5FAFB63E">
      <w:pPr>
        <w:spacing w:line="360" w:lineRule="auto"/>
        <w:ind w:firstLine="560"/>
        <w:rPr>
          <w:color w:val="000000"/>
          <w:sz w:val="24"/>
        </w:rPr>
      </w:pPr>
    </w:p>
    <w:p w14:paraId="117618B0">
      <w:pPr>
        <w:spacing w:line="360" w:lineRule="auto"/>
        <w:ind w:firstLine="560"/>
        <w:rPr>
          <w:color w:val="000000"/>
          <w:sz w:val="24"/>
          <w:u w:val="single"/>
        </w:rPr>
      </w:pPr>
      <w:r>
        <w:rPr>
          <w:color w:val="000000"/>
          <w:sz w:val="24"/>
        </w:rPr>
        <w:t>乙方（全称）：</w:t>
      </w:r>
      <w:r>
        <w:rPr>
          <w:color w:val="000000"/>
          <w:sz w:val="24"/>
          <w:u w:val="single"/>
        </w:rPr>
        <w:t xml:space="preserve">                                      </w:t>
      </w:r>
    </w:p>
    <w:p w14:paraId="2F9A3D68">
      <w:pPr>
        <w:spacing w:line="360" w:lineRule="auto"/>
        <w:ind w:firstLine="560"/>
        <w:rPr>
          <w:color w:val="000000"/>
          <w:sz w:val="24"/>
        </w:rPr>
      </w:pPr>
      <w:r>
        <w:rPr>
          <w:color w:val="000000"/>
          <w:sz w:val="24"/>
        </w:rPr>
        <w:t>地址：</w:t>
      </w:r>
      <w:r>
        <w:rPr>
          <w:color w:val="000000"/>
          <w:sz w:val="24"/>
          <w:u w:val="single"/>
        </w:rPr>
        <w:t xml:space="preserve">                                             </w:t>
      </w:r>
      <w:r>
        <w:rPr>
          <w:color w:val="000000"/>
          <w:sz w:val="24"/>
        </w:rPr>
        <w:t xml:space="preserve">                                            </w:t>
      </w:r>
    </w:p>
    <w:p w14:paraId="06CE2597">
      <w:pPr>
        <w:spacing w:line="360" w:lineRule="auto"/>
        <w:ind w:firstLine="560"/>
        <w:rPr>
          <w:color w:val="000000"/>
          <w:sz w:val="24"/>
          <w:u w:val="single"/>
        </w:rPr>
      </w:pPr>
      <w:r>
        <w:rPr>
          <w:color w:val="000000"/>
          <w:sz w:val="24"/>
        </w:rPr>
        <w:t>法定代表人：</w:t>
      </w:r>
      <w:r>
        <w:rPr>
          <w:color w:val="000000"/>
          <w:sz w:val="24"/>
          <w:u w:val="single"/>
        </w:rPr>
        <w:t xml:space="preserve">                   </w:t>
      </w:r>
      <w:r>
        <w:rPr>
          <w:color w:val="000000"/>
          <w:sz w:val="24"/>
        </w:rPr>
        <w:t xml:space="preserve">  邮编：</w:t>
      </w:r>
      <w:r>
        <w:rPr>
          <w:color w:val="000000"/>
          <w:sz w:val="24"/>
          <w:u w:val="single"/>
        </w:rPr>
        <w:t xml:space="preserve">            </w:t>
      </w:r>
    </w:p>
    <w:p w14:paraId="437E7314">
      <w:pPr>
        <w:spacing w:line="360" w:lineRule="auto"/>
        <w:rPr>
          <w:b/>
          <w:bCs/>
          <w:szCs w:val="21"/>
        </w:rPr>
      </w:pPr>
    </w:p>
    <w:p w14:paraId="0210C18C">
      <w:pPr>
        <w:spacing w:line="360" w:lineRule="auto"/>
        <w:ind w:firstLine="424" w:firstLineChars="202"/>
        <w:textAlignment w:val="center"/>
        <w:rPr>
          <w:snapToGrid w:val="0"/>
          <w:szCs w:val="21"/>
        </w:rPr>
      </w:pPr>
      <w:r>
        <w:rPr>
          <w:snapToGrid w:val="0"/>
          <w:szCs w:val="21"/>
        </w:rPr>
        <w:t>为推动甲乙双方业务发展，进一步密切银企合作关系，甲乙双方本着平等互利的原则，就甲方为乙方提供银企直联服务事宜达成如下协议：</w:t>
      </w:r>
    </w:p>
    <w:p w14:paraId="2FB6FEF4">
      <w:pPr>
        <w:pStyle w:val="23"/>
        <w:numPr>
          <w:ilvl w:val="0"/>
          <w:numId w:val="1"/>
        </w:numPr>
        <w:spacing w:before="240" w:after="60"/>
        <w:ind w:left="0" w:firstLine="426" w:firstLineChars="202"/>
        <w:textAlignment w:val="center"/>
        <w:outlineLvl w:val="0"/>
        <w:rPr>
          <w:snapToGrid w:val="0"/>
          <w:szCs w:val="21"/>
        </w:rPr>
      </w:pPr>
      <w:r>
        <w:rPr>
          <w:rStyle w:val="19"/>
          <w:rFonts w:ascii="Times New Roman" w:hAnsi="Times New Roman" w:cs="Times New Roman"/>
          <w:sz w:val="21"/>
          <w:szCs w:val="21"/>
        </w:rPr>
        <w:t>相关定义</w:t>
      </w:r>
    </w:p>
    <w:p w14:paraId="31631E37">
      <w:pPr>
        <w:numPr>
          <w:ilvl w:val="0"/>
          <w:numId w:val="2"/>
        </w:numPr>
        <w:spacing w:line="360" w:lineRule="auto"/>
        <w:ind w:firstLine="424" w:firstLineChars="202"/>
        <w:textAlignment w:val="center"/>
        <w:rPr>
          <w:snapToGrid w:val="0"/>
          <w:color w:val="000000"/>
          <w:szCs w:val="21"/>
        </w:rPr>
      </w:pPr>
      <w:r>
        <w:rPr>
          <w:rFonts w:hint="eastAsia"/>
          <w:snapToGrid w:val="0"/>
          <w:color w:val="000000"/>
          <w:szCs w:val="21"/>
        </w:rPr>
        <w:t>“银企直联”是平安银行对公电子服务渠道之一，通过公网或专线的连接方式，实现乙方及乙方关联公司的企业内部系统（包括财务系统、资金管理系统、ERP系统等）与银行的业务系统对接，乙方及乙方关联公司可直接通过企业内部系统使用转账付款、账户查询、回单下载、代发代扣、现金管理、票据业务、国际业务、投资理财、融资业务等金融服务。</w:t>
      </w:r>
    </w:p>
    <w:p w14:paraId="111AB185">
      <w:pPr>
        <w:numPr>
          <w:ilvl w:val="0"/>
          <w:numId w:val="2"/>
        </w:numPr>
        <w:spacing w:line="360" w:lineRule="auto"/>
        <w:ind w:firstLine="424" w:firstLineChars="202"/>
        <w:textAlignment w:val="center"/>
        <w:rPr>
          <w:snapToGrid w:val="0"/>
          <w:color w:val="000000"/>
          <w:szCs w:val="21"/>
        </w:rPr>
      </w:pPr>
      <w:r>
        <w:rPr>
          <w:rFonts w:hint="eastAsia"/>
          <w:snapToGrid w:val="0"/>
          <w:color w:val="000000"/>
          <w:szCs w:val="21"/>
        </w:rPr>
        <w:t>“</w:t>
      </w:r>
      <w:r>
        <w:rPr>
          <w:snapToGrid w:val="0"/>
          <w:color w:val="000000"/>
          <w:szCs w:val="21"/>
        </w:rPr>
        <w:t>关联公司</w:t>
      </w:r>
      <w:r>
        <w:rPr>
          <w:rFonts w:hint="eastAsia"/>
          <w:snapToGrid w:val="0"/>
          <w:color w:val="000000"/>
          <w:szCs w:val="21"/>
        </w:rPr>
        <w:t>”</w:t>
      </w:r>
      <w:r>
        <w:rPr>
          <w:snapToGrid w:val="0"/>
          <w:color w:val="000000"/>
          <w:szCs w:val="21"/>
        </w:rPr>
        <w:t>指与乙方具有业务往来关系或行政隶属关系并在甲方开立账户的单位，包括分公司、子公司、业务合作伙伴、行政隶属机构等。</w:t>
      </w:r>
    </w:p>
    <w:p w14:paraId="555560F2">
      <w:pPr>
        <w:numPr>
          <w:ilvl w:val="0"/>
          <w:numId w:val="2"/>
        </w:numPr>
        <w:spacing w:line="360" w:lineRule="auto"/>
        <w:ind w:firstLine="424" w:firstLineChars="202"/>
        <w:textAlignment w:val="center"/>
        <w:rPr>
          <w:snapToGrid w:val="0"/>
          <w:color w:val="000000"/>
          <w:szCs w:val="21"/>
        </w:rPr>
      </w:pPr>
      <w:r>
        <w:rPr>
          <w:rFonts w:hint="eastAsia"/>
          <w:snapToGrid w:val="0"/>
          <w:color w:val="000000"/>
          <w:szCs w:val="21"/>
        </w:rPr>
        <w:t>“</w:t>
      </w:r>
      <w:r>
        <w:rPr>
          <w:snapToGrid w:val="0"/>
          <w:color w:val="000000"/>
          <w:szCs w:val="21"/>
        </w:rPr>
        <w:t>银企直联客户号</w:t>
      </w:r>
      <w:r>
        <w:rPr>
          <w:rFonts w:hint="eastAsia"/>
          <w:snapToGrid w:val="0"/>
          <w:color w:val="000000"/>
          <w:szCs w:val="21"/>
        </w:rPr>
        <w:t>”</w:t>
      </w:r>
      <w:r>
        <w:rPr>
          <w:snapToGrid w:val="0"/>
          <w:color w:val="000000"/>
          <w:szCs w:val="21"/>
        </w:rPr>
        <w:t>是乙方</w:t>
      </w:r>
      <w:r>
        <w:rPr>
          <w:rFonts w:hint="eastAsia"/>
          <w:snapToGrid w:val="0"/>
          <w:color w:val="000000"/>
          <w:szCs w:val="21"/>
        </w:rPr>
        <w:t>开通甲方提供的</w:t>
      </w:r>
      <w:r>
        <w:rPr>
          <w:snapToGrid w:val="0"/>
          <w:color w:val="000000"/>
          <w:szCs w:val="21"/>
        </w:rPr>
        <w:t>银企直联服务后，甲方为乙方创建的银企直联客户身份编号。</w:t>
      </w:r>
      <w:r>
        <w:rPr>
          <w:rFonts w:hint="eastAsia"/>
          <w:snapToGrid w:val="0"/>
          <w:color w:val="000000"/>
          <w:szCs w:val="21"/>
        </w:rPr>
        <w:t>“银企直联加挂业务”指乙方可将其名下在甲方任一分行开立的账户纳入乙方的银企直联进行账户加挂，也可将已加挂的账户进行账户减户。“银企直联托管业务”指乙方可将其非同名的关联公司在甲方任一分行开立的结算账户通过乙方的银企直联托管业务进行统一管理，包括托管账户的添加和托管账户的减户。</w:t>
      </w:r>
    </w:p>
    <w:p w14:paraId="1601E670">
      <w:pPr>
        <w:numPr>
          <w:ilvl w:val="0"/>
          <w:numId w:val="2"/>
        </w:numPr>
        <w:spacing w:line="360" w:lineRule="auto"/>
        <w:ind w:firstLine="424" w:firstLineChars="202"/>
        <w:textAlignment w:val="center"/>
        <w:rPr>
          <w:snapToGrid w:val="0"/>
          <w:color w:val="000000"/>
          <w:szCs w:val="21"/>
        </w:rPr>
      </w:pPr>
      <w:r>
        <w:rPr>
          <w:rFonts w:hint="eastAsia"/>
          <w:snapToGrid w:val="0"/>
          <w:color w:val="000000"/>
          <w:szCs w:val="21"/>
        </w:rPr>
        <w:t>“</w:t>
      </w:r>
      <w:r>
        <w:rPr>
          <w:snapToGrid w:val="0"/>
          <w:color w:val="000000"/>
          <w:szCs w:val="21"/>
        </w:rPr>
        <w:t>电子业务指令</w:t>
      </w:r>
      <w:r>
        <w:rPr>
          <w:rFonts w:hint="eastAsia"/>
          <w:snapToGrid w:val="0"/>
          <w:color w:val="000000"/>
          <w:szCs w:val="21"/>
        </w:rPr>
        <w:t>”</w:t>
      </w:r>
      <w:r>
        <w:rPr>
          <w:snapToGrid w:val="0"/>
          <w:color w:val="000000"/>
          <w:szCs w:val="21"/>
        </w:rPr>
        <w:t>指乙方</w:t>
      </w:r>
      <w:r>
        <w:rPr>
          <w:rFonts w:hint="eastAsia"/>
          <w:snapToGrid w:val="0"/>
          <w:color w:val="000000"/>
          <w:szCs w:val="21"/>
        </w:rPr>
        <w:t>或乙方关联公司</w:t>
      </w:r>
      <w:r>
        <w:rPr>
          <w:snapToGrid w:val="0"/>
          <w:color w:val="000000"/>
          <w:szCs w:val="21"/>
        </w:rPr>
        <w:t>使用</w:t>
      </w:r>
      <w:r>
        <w:rPr>
          <w:rFonts w:hint="eastAsia"/>
          <w:snapToGrid w:val="0"/>
          <w:color w:val="000000"/>
          <w:szCs w:val="21"/>
        </w:rPr>
        <w:t>甲方</w:t>
      </w:r>
      <w:r>
        <w:rPr>
          <w:snapToGrid w:val="0"/>
          <w:color w:val="000000"/>
          <w:szCs w:val="21"/>
        </w:rPr>
        <w:t>提供的银企直联服务向</w:t>
      </w:r>
      <w:r>
        <w:rPr>
          <w:rFonts w:hint="eastAsia"/>
          <w:snapToGrid w:val="0"/>
          <w:color w:val="000000"/>
          <w:szCs w:val="21"/>
        </w:rPr>
        <w:t>甲方</w:t>
      </w:r>
      <w:r>
        <w:rPr>
          <w:snapToGrid w:val="0"/>
          <w:color w:val="000000"/>
          <w:szCs w:val="21"/>
        </w:rPr>
        <w:t>发出的业务申请办理、查询、文件下载等指示</w:t>
      </w:r>
      <w:r>
        <w:rPr>
          <w:rFonts w:hint="eastAsia"/>
          <w:snapToGrid w:val="0"/>
          <w:color w:val="000000"/>
          <w:szCs w:val="21"/>
        </w:rPr>
        <w:t>，包括电子业务提交指令及电子业务预提交指令</w:t>
      </w:r>
      <w:r>
        <w:rPr>
          <w:snapToGrid w:val="0"/>
          <w:color w:val="000000"/>
          <w:szCs w:val="21"/>
        </w:rPr>
        <w:t>。</w:t>
      </w:r>
    </w:p>
    <w:p w14:paraId="5683CD14">
      <w:pPr>
        <w:numPr>
          <w:ilvl w:val="0"/>
          <w:numId w:val="2"/>
        </w:numPr>
        <w:spacing w:line="360" w:lineRule="auto"/>
        <w:ind w:firstLine="424" w:firstLineChars="202"/>
        <w:textAlignment w:val="center"/>
        <w:rPr>
          <w:snapToGrid w:val="0"/>
          <w:color w:val="000000"/>
          <w:szCs w:val="21"/>
        </w:rPr>
      </w:pPr>
      <w:r>
        <w:rPr>
          <w:rFonts w:hint="eastAsia"/>
          <w:snapToGrid w:val="0"/>
          <w:color w:val="000000"/>
          <w:szCs w:val="21"/>
        </w:rPr>
        <w:t>“安全工具”</w:t>
      </w:r>
      <w:r>
        <w:rPr>
          <w:snapToGrid w:val="0"/>
          <w:color w:val="000000"/>
          <w:szCs w:val="21"/>
        </w:rPr>
        <w:t>指用于存放乙方身份标识，并对乙方发送的电子业务指令进行数字签名的电子文件。银企直联</w:t>
      </w:r>
      <w:r>
        <w:rPr>
          <w:rFonts w:hint="eastAsia"/>
          <w:snapToGrid w:val="0"/>
          <w:color w:val="000000"/>
          <w:szCs w:val="21"/>
        </w:rPr>
        <w:t>安全工具</w:t>
      </w:r>
      <w:r>
        <w:rPr>
          <w:snapToGrid w:val="0"/>
          <w:color w:val="000000"/>
          <w:szCs w:val="21"/>
        </w:rPr>
        <w:t>包括USBKey和文件证书两种类型。</w:t>
      </w:r>
    </w:p>
    <w:p w14:paraId="31ED2626">
      <w:pPr>
        <w:numPr>
          <w:ilvl w:val="0"/>
          <w:numId w:val="2"/>
        </w:numPr>
        <w:spacing w:line="360" w:lineRule="auto"/>
        <w:ind w:firstLine="424" w:firstLineChars="202"/>
        <w:textAlignment w:val="center"/>
        <w:rPr>
          <w:snapToGrid w:val="0"/>
          <w:color w:val="000000"/>
          <w:szCs w:val="21"/>
        </w:rPr>
      </w:pPr>
      <w:r>
        <w:rPr>
          <w:rFonts w:hint="eastAsia"/>
          <w:snapToGrid w:val="0"/>
          <w:color w:val="000000"/>
          <w:szCs w:val="21"/>
        </w:rPr>
        <w:t>“基础结算服务”（以下简称“直联结算”）包括境内人民币转账付款、账户查询、回单下载等功能。“接口对接服务”（以下简称“直联渠道”）承接包括但不限于直联结算、现金管理、融资、票据、跨境等产品办理的面客接口服务。</w:t>
      </w:r>
    </w:p>
    <w:p w14:paraId="4053D45C">
      <w:pPr>
        <w:widowControl/>
        <w:numPr>
          <w:ilvl w:val="0"/>
          <w:numId w:val="2"/>
        </w:numPr>
        <w:spacing w:line="360" w:lineRule="auto"/>
        <w:ind w:firstLine="424" w:firstLineChars="202"/>
        <w:jc w:val="left"/>
        <w:textAlignment w:val="center"/>
        <w:rPr>
          <w:snapToGrid w:val="0"/>
          <w:szCs w:val="21"/>
        </w:rPr>
      </w:pPr>
      <w:r>
        <w:rPr>
          <w:rFonts w:hint="eastAsia"/>
          <w:snapToGrid w:val="0"/>
          <w:color w:val="000000"/>
          <w:szCs w:val="21"/>
        </w:rPr>
        <w:t>“</w:t>
      </w:r>
      <w:r>
        <w:rPr>
          <w:snapToGrid w:val="0"/>
          <w:color w:val="000000"/>
          <w:szCs w:val="21"/>
        </w:rPr>
        <w:t>银企直联</w:t>
      </w:r>
      <w:r>
        <w:rPr>
          <w:rFonts w:hint="eastAsia"/>
          <w:snapToGrid w:val="0"/>
          <w:color w:val="000000"/>
          <w:szCs w:val="21"/>
        </w:rPr>
        <w:t>生态合作方接口对接”</w:t>
      </w:r>
      <w:r>
        <w:rPr>
          <w:snapToGrid w:val="0"/>
          <w:color w:val="000000"/>
          <w:szCs w:val="21"/>
        </w:rPr>
        <w:t>是面向软件服务商平台等生态合作方提供的一种银企直联业务</w:t>
      </w:r>
      <w:r>
        <w:rPr>
          <w:rFonts w:hint="eastAsia"/>
          <w:snapToGrid w:val="0"/>
          <w:color w:val="000000"/>
          <w:szCs w:val="21"/>
        </w:rPr>
        <w:t>对接服务</w:t>
      </w:r>
      <w:r>
        <w:rPr>
          <w:snapToGrid w:val="0"/>
          <w:color w:val="000000"/>
          <w:szCs w:val="21"/>
        </w:rPr>
        <w:t>。</w:t>
      </w:r>
    </w:p>
    <w:p w14:paraId="6F412F4A">
      <w:pPr>
        <w:pStyle w:val="23"/>
        <w:numPr>
          <w:ilvl w:val="0"/>
          <w:numId w:val="1"/>
        </w:numPr>
        <w:spacing w:before="240" w:after="60"/>
        <w:ind w:left="0" w:firstLine="426" w:firstLineChars="202"/>
        <w:textAlignment w:val="center"/>
        <w:outlineLvl w:val="0"/>
        <w:rPr>
          <w:rStyle w:val="19"/>
          <w:rFonts w:ascii="Times New Roman" w:hAnsi="Times New Roman" w:cs="Times New Roman"/>
          <w:sz w:val="21"/>
          <w:szCs w:val="21"/>
        </w:rPr>
      </w:pPr>
      <w:r>
        <w:rPr>
          <w:rStyle w:val="19"/>
          <w:rFonts w:hint="eastAsia" w:cs="Times New Roman"/>
          <w:sz w:val="21"/>
          <w:szCs w:val="21"/>
        </w:rPr>
        <w:t>服务</w:t>
      </w:r>
      <w:r>
        <w:rPr>
          <w:rStyle w:val="19"/>
          <w:rFonts w:ascii="Times New Roman" w:hAnsi="Times New Roman" w:cs="Times New Roman"/>
          <w:sz w:val="21"/>
          <w:szCs w:val="21"/>
        </w:rPr>
        <w:t>条款</w:t>
      </w:r>
    </w:p>
    <w:p w14:paraId="6A0AC20F">
      <w:pPr>
        <w:widowControl/>
        <w:numPr>
          <w:ilvl w:val="0"/>
          <w:numId w:val="3"/>
        </w:numPr>
        <w:spacing w:line="360" w:lineRule="auto"/>
        <w:ind w:firstLine="424" w:firstLineChars="202"/>
        <w:jc w:val="left"/>
        <w:textAlignment w:val="center"/>
        <w:rPr>
          <w:snapToGrid w:val="0"/>
          <w:color w:val="000000"/>
          <w:szCs w:val="21"/>
        </w:rPr>
      </w:pPr>
      <w:r>
        <w:rPr>
          <w:snapToGrid w:val="0"/>
          <w:color w:val="000000"/>
          <w:szCs w:val="21"/>
        </w:rPr>
        <w:t>乙方可通过甲方的营业网点或</w:t>
      </w:r>
      <w:r>
        <w:rPr>
          <w:rFonts w:hint="eastAsia"/>
          <w:snapToGrid w:val="0"/>
          <w:color w:val="000000"/>
          <w:szCs w:val="21"/>
        </w:rPr>
        <w:t>电子</w:t>
      </w:r>
      <w:r>
        <w:rPr>
          <w:snapToGrid w:val="0"/>
          <w:color w:val="000000"/>
          <w:szCs w:val="21"/>
        </w:rPr>
        <w:t>渠道</w:t>
      </w:r>
      <w:r>
        <w:rPr>
          <w:rFonts w:hint="eastAsia"/>
          <w:snapToGrid w:val="0"/>
          <w:color w:val="000000"/>
          <w:szCs w:val="21"/>
        </w:rPr>
        <w:t>办理银企直联业务的开通、暂停、关闭以及账户的直联加挂、托管、变更、减户等手续。乙方应按照甲方规定提供相关资料、填写相关申请表，</w:t>
      </w:r>
      <w:r>
        <w:rPr>
          <w:snapToGrid w:val="0"/>
          <w:color w:val="000000"/>
          <w:szCs w:val="21"/>
        </w:rPr>
        <w:t>并加盖公章</w:t>
      </w:r>
      <w:r>
        <w:rPr>
          <w:rFonts w:hint="eastAsia"/>
          <w:snapToGrid w:val="0"/>
          <w:color w:val="000000"/>
          <w:szCs w:val="21"/>
        </w:rPr>
        <w:t>或使用甲方发放的有效安全工具进行签名。</w:t>
      </w:r>
    </w:p>
    <w:p w14:paraId="1DE86CD7">
      <w:pPr>
        <w:numPr>
          <w:ilvl w:val="0"/>
          <w:numId w:val="3"/>
        </w:numPr>
        <w:spacing w:line="360" w:lineRule="auto"/>
        <w:ind w:firstLine="424" w:firstLineChars="202"/>
        <w:textAlignment w:val="center"/>
        <w:rPr>
          <w:snapToGrid w:val="0"/>
          <w:color w:val="000000"/>
          <w:szCs w:val="21"/>
        </w:rPr>
      </w:pPr>
      <w:r>
        <w:rPr>
          <w:rFonts w:hint="eastAsia"/>
          <w:snapToGrid w:val="0"/>
          <w:color w:val="000000"/>
          <w:szCs w:val="21"/>
        </w:rPr>
        <w:t>乙方</w:t>
      </w:r>
      <w:r>
        <w:rPr>
          <w:snapToGrid w:val="0"/>
          <w:color w:val="000000"/>
          <w:szCs w:val="21"/>
        </w:rPr>
        <w:t>作为甲方的</w:t>
      </w:r>
      <w:r>
        <w:rPr>
          <w:rFonts w:hint="eastAsia"/>
          <w:snapToGrid w:val="0"/>
          <w:color w:val="000000"/>
          <w:szCs w:val="21"/>
        </w:rPr>
        <w:t>生态合作方，可将乙方系统平台与</w:t>
      </w:r>
      <w:r>
        <w:rPr>
          <w:snapToGrid w:val="0"/>
          <w:color w:val="000000"/>
          <w:szCs w:val="21"/>
        </w:rPr>
        <w:t>银企直联</w:t>
      </w:r>
      <w:r>
        <w:rPr>
          <w:rFonts w:hint="eastAsia"/>
          <w:snapToGrid w:val="0"/>
          <w:color w:val="000000"/>
          <w:szCs w:val="21"/>
        </w:rPr>
        <w:t>生态合作方</w:t>
      </w:r>
      <w:r>
        <w:rPr>
          <w:snapToGrid w:val="0"/>
          <w:color w:val="000000"/>
          <w:szCs w:val="21"/>
        </w:rPr>
        <w:t>接口</w:t>
      </w:r>
      <w:r>
        <w:rPr>
          <w:rFonts w:hint="eastAsia"/>
          <w:snapToGrid w:val="0"/>
          <w:color w:val="000000"/>
          <w:szCs w:val="21"/>
        </w:rPr>
        <w:t>对接</w:t>
      </w:r>
      <w:r>
        <w:rPr>
          <w:snapToGrid w:val="0"/>
          <w:color w:val="000000"/>
          <w:szCs w:val="21"/>
        </w:rPr>
        <w:t>，</w:t>
      </w:r>
      <w:r>
        <w:rPr>
          <w:rFonts w:hint="eastAsia"/>
          <w:snapToGrid w:val="0"/>
          <w:color w:val="000000"/>
          <w:szCs w:val="21"/>
        </w:rPr>
        <w:t>乙方应按照甲方规定提供相关资料、签署相关合作协议。</w:t>
      </w:r>
    </w:p>
    <w:p w14:paraId="2E2250DB">
      <w:pPr>
        <w:widowControl/>
        <w:numPr>
          <w:ilvl w:val="0"/>
          <w:numId w:val="3"/>
        </w:numPr>
        <w:spacing w:line="360" w:lineRule="auto"/>
        <w:ind w:firstLine="424" w:firstLineChars="202"/>
        <w:jc w:val="left"/>
        <w:textAlignment w:val="center"/>
        <w:rPr>
          <w:snapToGrid w:val="0"/>
          <w:color w:val="000000"/>
          <w:szCs w:val="21"/>
        </w:rPr>
      </w:pPr>
      <w:r>
        <w:rPr>
          <w:rFonts w:hint="eastAsia"/>
          <w:snapToGrid w:val="0"/>
          <w:color w:val="000000"/>
          <w:szCs w:val="21"/>
        </w:rPr>
        <w:t>乙方关联公司如需通过乙方系统平台使用银企直联生态合作方服务，应通过乙方系统平台向甲方提交授权申请，并在甲方指定渠道（如企业网银等）明确接口权限范围与签署确认《平安银行银企直联服务授权书（生态合作方版）》。乙方</w:t>
      </w:r>
      <w:r>
        <w:rPr>
          <w:snapToGrid w:val="0"/>
          <w:color w:val="000000"/>
          <w:szCs w:val="21"/>
        </w:rPr>
        <w:t>关联公司</w:t>
      </w:r>
      <w:r>
        <w:rPr>
          <w:rFonts w:hint="eastAsia"/>
          <w:snapToGrid w:val="0"/>
          <w:color w:val="000000"/>
          <w:szCs w:val="21"/>
        </w:rPr>
        <w:t>授权完成后，即代表乙方知悉并确认乙方关联公司授权，乙方关联公司</w:t>
      </w:r>
      <w:r>
        <w:rPr>
          <w:snapToGrid w:val="0"/>
          <w:color w:val="000000"/>
          <w:szCs w:val="21"/>
        </w:rPr>
        <w:t>可以</w:t>
      </w:r>
      <w:r>
        <w:rPr>
          <w:rFonts w:hint="eastAsia"/>
          <w:snapToGrid w:val="0"/>
          <w:color w:val="000000"/>
          <w:szCs w:val="21"/>
        </w:rPr>
        <w:t>在</w:t>
      </w:r>
      <w:r>
        <w:rPr>
          <w:snapToGrid w:val="0"/>
          <w:color w:val="000000"/>
          <w:szCs w:val="21"/>
        </w:rPr>
        <w:t>乙方系统平台发送</w:t>
      </w:r>
      <w:r>
        <w:rPr>
          <w:rFonts w:hint="eastAsia"/>
          <w:snapToGrid w:val="0"/>
          <w:color w:val="000000"/>
          <w:szCs w:val="21"/>
        </w:rPr>
        <w:t>电子</w:t>
      </w:r>
      <w:r>
        <w:rPr>
          <w:snapToGrid w:val="0"/>
          <w:color w:val="000000"/>
          <w:szCs w:val="21"/>
        </w:rPr>
        <w:t>业务指令到甲方</w:t>
      </w:r>
      <w:r>
        <w:rPr>
          <w:rFonts w:hint="eastAsia"/>
          <w:snapToGrid w:val="0"/>
          <w:color w:val="000000"/>
          <w:szCs w:val="21"/>
        </w:rPr>
        <w:t>相关系统进行业务办理</w:t>
      </w:r>
      <w:r>
        <w:rPr>
          <w:snapToGrid w:val="0"/>
          <w:color w:val="000000"/>
          <w:szCs w:val="21"/>
        </w:rPr>
        <w:t>。</w:t>
      </w:r>
    </w:p>
    <w:p w14:paraId="756B7E12">
      <w:pPr>
        <w:widowControl/>
        <w:numPr>
          <w:ilvl w:val="0"/>
          <w:numId w:val="3"/>
        </w:numPr>
        <w:spacing w:line="360" w:lineRule="auto"/>
        <w:ind w:firstLine="424" w:firstLineChars="202"/>
        <w:jc w:val="left"/>
        <w:textAlignment w:val="center"/>
        <w:rPr>
          <w:snapToGrid w:val="0"/>
          <w:color w:val="000000"/>
          <w:szCs w:val="21"/>
        </w:rPr>
      </w:pPr>
      <w:r>
        <w:rPr>
          <w:snapToGrid w:val="0"/>
          <w:color w:val="000000"/>
          <w:szCs w:val="21"/>
        </w:rPr>
        <w:t>乙方向甲方提供的《</w:t>
      </w:r>
      <w:r>
        <w:rPr>
          <w:rFonts w:hint="eastAsia"/>
          <w:snapToGrid w:val="0"/>
          <w:color w:val="000000"/>
          <w:szCs w:val="21"/>
        </w:rPr>
        <w:t>平安银行</w:t>
      </w:r>
      <w:r>
        <w:rPr>
          <w:snapToGrid w:val="0"/>
          <w:color w:val="000000"/>
          <w:szCs w:val="21"/>
        </w:rPr>
        <w:t>银企直联服务申请表》是本协议不可分割的组成部分，乙方应保证所填写的申请表和所提供的资料真实、准确、完整，因资料的不真实、不准确、不完整所带来的损失或其他法律责任由乙方</w:t>
      </w:r>
      <w:r>
        <w:rPr>
          <w:rFonts w:hint="eastAsia"/>
          <w:snapToGrid w:val="0"/>
          <w:color w:val="000000"/>
          <w:szCs w:val="21"/>
        </w:rPr>
        <w:t>自行</w:t>
      </w:r>
      <w:r>
        <w:rPr>
          <w:snapToGrid w:val="0"/>
          <w:color w:val="000000"/>
          <w:szCs w:val="21"/>
        </w:rPr>
        <w:t>承担。乙方在使用银企直联服务过程中，如</w:t>
      </w:r>
      <w:r>
        <w:rPr>
          <w:rFonts w:hint="eastAsia"/>
          <w:snapToGrid w:val="0"/>
          <w:color w:val="000000"/>
          <w:szCs w:val="21"/>
        </w:rPr>
        <w:t>申请表或相关</w:t>
      </w:r>
      <w:r>
        <w:rPr>
          <w:snapToGrid w:val="0"/>
          <w:color w:val="000000"/>
          <w:szCs w:val="21"/>
        </w:rPr>
        <w:t>资料信息发生变更，应及时通知甲方，并按甲方规定的程序办理有关手续，否则发生的损失和风险由乙方</w:t>
      </w:r>
      <w:r>
        <w:rPr>
          <w:rFonts w:hint="eastAsia"/>
          <w:snapToGrid w:val="0"/>
          <w:color w:val="000000"/>
          <w:szCs w:val="21"/>
        </w:rPr>
        <w:t>自行</w:t>
      </w:r>
      <w:r>
        <w:rPr>
          <w:snapToGrid w:val="0"/>
          <w:color w:val="000000"/>
          <w:szCs w:val="21"/>
        </w:rPr>
        <w:t>承担。</w:t>
      </w:r>
    </w:p>
    <w:p w14:paraId="68A7C9AA">
      <w:pPr>
        <w:numPr>
          <w:ilvl w:val="0"/>
          <w:numId w:val="3"/>
        </w:numPr>
        <w:spacing w:line="360" w:lineRule="auto"/>
        <w:ind w:firstLine="424" w:firstLineChars="202"/>
        <w:textAlignment w:val="center"/>
        <w:rPr>
          <w:snapToGrid w:val="0"/>
          <w:color w:val="000000"/>
          <w:szCs w:val="21"/>
        </w:rPr>
      </w:pPr>
      <w:r>
        <w:rPr>
          <w:snapToGrid w:val="0"/>
          <w:color w:val="000000"/>
          <w:szCs w:val="21"/>
        </w:rPr>
        <w:t>乙方</w:t>
      </w:r>
      <w:r>
        <w:rPr>
          <w:rFonts w:hint="eastAsia"/>
          <w:snapToGrid w:val="0"/>
          <w:color w:val="000000"/>
          <w:szCs w:val="21"/>
        </w:rPr>
        <w:t>对接甲方的银企直联生态合作方</w:t>
      </w:r>
      <w:r>
        <w:rPr>
          <w:snapToGrid w:val="0"/>
          <w:color w:val="000000"/>
          <w:szCs w:val="21"/>
        </w:rPr>
        <w:t>服务，需具备相应的系统接口</w:t>
      </w:r>
      <w:r>
        <w:rPr>
          <w:rFonts w:hint="eastAsia"/>
          <w:snapToGrid w:val="0"/>
          <w:color w:val="000000"/>
          <w:szCs w:val="21"/>
        </w:rPr>
        <w:t>对接</w:t>
      </w:r>
      <w:r>
        <w:rPr>
          <w:snapToGrid w:val="0"/>
          <w:color w:val="000000"/>
          <w:szCs w:val="21"/>
        </w:rPr>
        <w:t>能力、网络环境与电子设备等软硬件设施条件。</w:t>
      </w:r>
      <w:r>
        <w:rPr>
          <w:rFonts w:hint="eastAsia"/>
          <w:snapToGrid w:val="0"/>
          <w:color w:val="000000"/>
          <w:szCs w:val="21"/>
        </w:rPr>
        <w:t>在双方系统对接过程中，</w:t>
      </w:r>
      <w:r>
        <w:rPr>
          <w:snapToGrid w:val="0"/>
          <w:color w:val="000000"/>
          <w:szCs w:val="21"/>
        </w:rPr>
        <w:t>甲方向乙方提供银企直联</w:t>
      </w:r>
      <w:r>
        <w:rPr>
          <w:rFonts w:hint="eastAsia"/>
          <w:snapToGrid w:val="0"/>
          <w:color w:val="000000"/>
          <w:szCs w:val="21"/>
        </w:rPr>
        <w:t>业务对接</w:t>
      </w:r>
      <w:r>
        <w:rPr>
          <w:snapToGrid w:val="0"/>
          <w:color w:val="000000"/>
          <w:szCs w:val="21"/>
        </w:rPr>
        <w:t>文档</w:t>
      </w:r>
      <w:r>
        <w:rPr>
          <w:rFonts w:hint="eastAsia"/>
          <w:snapToGrid w:val="0"/>
          <w:color w:val="000000"/>
          <w:szCs w:val="21"/>
        </w:rPr>
        <w:t>和操作指引等。</w:t>
      </w:r>
    </w:p>
    <w:p w14:paraId="4C9CDF22">
      <w:pPr>
        <w:numPr>
          <w:ilvl w:val="0"/>
          <w:numId w:val="3"/>
        </w:numPr>
        <w:spacing w:line="360" w:lineRule="auto"/>
        <w:ind w:firstLine="424" w:firstLineChars="202"/>
        <w:textAlignment w:val="center"/>
        <w:rPr>
          <w:snapToGrid w:val="0"/>
          <w:color w:val="000000"/>
          <w:szCs w:val="21"/>
        </w:rPr>
      </w:pPr>
      <w:r>
        <w:rPr>
          <w:rFonts w:hint="eastAsia"/>
          <w:snapToGrid w:val="0"/>
          <w:color w:val="000000"/>
          <w:szCs w:val="21"/>
        </w:rPr>
        <w:t>乙方完成银企直联业务对接后，</w:t>
      </w:r>
      <w:r>
        <w:rPr>
          <w:snapToGrid w:val="0"/>
          <w:color w:val="000000"/>
          <w:szCs w:val="21"/>
        </w:rPr>
        <w:t>甲乙双方应进行双方系统的联调测试，甲方为乙方提供联调测试的环境和支持。联</w:t>
      </w:r>
      <w:r>
        <w:rPr>
          <w:rFonts w:hint="eastAsia"/>
          <w:snapToGrid w:val="0"/>
          <w:color w:val="000000"/>
          <w:szCs w:val="21"/>
        </w:rPr>
        <w:t>调</w:t>
      </w:r>
      <w:r>
        <w:rPr>
          <w:snapToGrid w:val="0"/>
          <w:color w:val="000000"/>
          <w:szCs w:val="21"/>
        </w:rPr>
        <w:t>测试</w:t>
      </w:r>
      <w:r>
        <w:rPr>
          <w:rFonts w:hint="eastAsia"/>
          <w:snapToGrid w:val="0"/>
          <w:color w:val="000000"/>
          <w:szCs w:val="21"/>
        </w:rPr>
        <w:t>通过且由乙方提供相关测试报告后，</w:t>
      </w:r>
      <w:r>
        <w:rPr>
          <w:snapToGrid w:val="0"/>
          <w:color w:val="000000"/>
          <w:szCs w:val="21"/>
        </w:rPr>
        <w:t>方可正式</w:t>
      </w:r>
      <w:r>
        <w:rPr>
          <w:rFonts w:hint="eastAsia"/>
          <w:snapToGrid w:val="0"/>
          <w:color w:val="000000"/>
          <w:szCs w:val="21"/>
        </w:rPr>
        <w:t>使用银企直联服务</w:t>
      </w:r>
      <w:r>
        <w:rPr>
          <w:snapToGrid w:val="0"/>
          <w:color w:val="000000"/>
          <w:szCs w:val="21"/>
        </w:rPr>
        <w:t>。</w:t>
      </w:r>
    </w:p>
    <w:p w14:paraId="6DE691E7">
      <w:pPr>
        <w:numPr>
          <w:ilvl w:val="0"/>
          <w:numId w:val="3"/>
        </w:numPr>
        <w:tabs>
          <w:tab w:val="left" w:pos="851"/>
        </w:tabs>
        <w:spacing w:line="360" w:lineRule="auto"/>
        <w:ind w:firstLine="426" w:firstLineChars="202"/>
        <w:textAlignment w:val="center"/>
        <w:rPr>
          <w:b/>
          <w:bCs/>
          <w:snapToGrid w:val="0"/>
          <w:color w:val="000000"/>
          <w:szCs w:val="21"/>
        </w:rPr>
      </w:pPr>
      <w:r>
        <w:rPr>
          <w:rFonts w:hint="eastAsia"/>
          <w:b/>
          <w:bCs/>
          <w:snapToGrid w:val="0"/>
          <w:color w:val="000000"/>
          <w:szCs w:val="21"/>
        </w:rPr>
        <w:t>乙方可使用甲方颁发给乙方的银企直联安全工具对电子业务指令进行签名，甲方完全信任此其签名的指令，通过此此安全工具发送的业务指令均视为乙方自愿办理。乙方已充分知悉安全工具下载凭证泄露、丢失、存储介质被破坏、被复制等情况所造成的风险，如因以上行为发生所产生的一切风险及后果，与甲方无关，相应责任由乙方自行承担。</w:t>
      </w:r>
    </w:p>
    <w:p w14:paraId="67BF4281">
      <w:pPr>
        <w:numPr>
          <w:ilvl w:val="0"/>
          <w:numId w:val="3"/>
        </w:numPr>
        <w:spacing w:line="360" w:lineRule="auto"/>
        <w:ind w:firstLine="424" w:firstLineChars="202"/>
        <w:textAlignment w:val="center"/>
        <w:rPr>
          <w:snapToGrid w:val="0"/>
          <w:color w:val="000000"/>
          <w:szCs w:val="21"/>
        </w:rPr>
      </w:pPr>
      <w:r>
        <w:rPr>
          <w:rFonts w:hint="eastAsia"/>
          <w:snapToGrid w:val="0"/>
          <w:color w:val="000000"/>
          <w:szCs w:val="21"/>
        </w:rPr>
        <w:t>甲方有权根据业务的需要更新和升级银企直联业务的版本。银企直联业务版本如有更新，甲方应及时通知乙方，并负责向乙方提供更新的版本和相关的培训。</w:t>
      </w:r>
    </w:p>
    <w:p w14:paraId="2937C818">
      <w:pPr>
        <w:widowControl/>
        <w:numPr>
          <w:ilvl w:val="0"/>
          <w:numId w:val="3"/>
        </w:numPr>
        <w:spacing w:line="360" w:lineRule="auto"/>
        <w:ind w:firstLine="424" w:firstLineChars="202"/>
        <w:jc w:val="left"/>
        <w:textAlignment w:val="center"/>
        <w:rPr>
          <w:snapToGrid w:val="0"/>
          <w:color w:val="000000"/>
          <w:szCs w:val="21"/>
        </w:rPr>
      </w:pPr>
      <w:r>
        <w:rPr>
          <w:rFonts w:hint="eastAsia"/>
          <w:snapToGrid w:val="0"/>
          <w:color w:val="000000"/>
          <w:szCs w:val="21"/>
        </w:rPr>
        <w:t>甲方根据乙方通过银企直联发送的电子业务指令办理业务，为乙方及关联公司办理转账等业务的时间以甲方在对应业务系统中处理的时间为准。</w:t>
      </w:r>
    </w:p>
    <w:p w14:paraId="0C08D295">
      <w:pPr>
        <w:widowControl/>
        <w:numPr>
          <w:ilvl w:val="0"/>
          <w:numId w:val="3"/>
        </w:numPr>
        <w:spacing w:line="360" w:lineRule="auto"/>
        <w:ind w:firstLine="426" w:firstLineChars="202"/>
        <w:jc w:val="left"/>
        <w:textAlignment w:val="center"/>
        <w:rPr>
          <w:snapToGrid w:val="0"/>
          <w:color w:val="000000"/>
          <w:szCs w:val="21"/>
        </w:rPr>
      </w:pPr>
      <w:r>
        <w:rPr>
          <w:rFonts w:hint="eastAsia"/>
          <w:b/>
          <w:snapToGrid w:val="0"/>
          <w:color w:val="000000"/>
          <w:szCs w:val="21"/>
        </w:rPr>
        <w:t>凡是通过银企直联收到的有效指令，甲方都将其视作经过乙方或乙方关联公司授权同意的指令，乙方或乙方关联公司不得对该指令进行变更或撤销，甲方无义务审查乙方指令的真实性或指令授权的有效性。</w:t>
      </w:r>
      <w:r>
        <w:rPr>
          <w:rFonts w:hint="eastAsia"/>
          <w:snapToGrid w:val="0"/>
          <w:color w:val="000000"/>
          <w:szCs w:val="21"/>
        </w:rPr>
        <w:t>当乙方使用银企直联时违反了法律法规、监管政策和甲方相关内控制度的规定，甲方有保留不处理或延迟处理乙方指令的权利，并通知乙方配合处理。</w:t>
      </w:r>
    </w:p>
    <w:p w14:paraId="1E9A26EB">
      <w:pPr>
        <w:widowControl/>
        <w:numPr>
          <w:ilvl w:val="0"/>
          <w:numId w:val="3"/>
        </w:numPr>
        <w:spacing w:line="360" w:lineRule="auto"/>
        <w:ind w:firstLine="424" w:firstLineChars="202"/>
        <w:jc w:val="left"/>
        <w:textAlignment w:val="center"/>
        <w:rPr>
          <w:snapToGrid w:val="0"/>
          <w:color w:val="000000"/>
          <w:szCs w:val="21"/>
        </w:rPr>
      </w:pPr>
      <w:r>
        <w:rPr>
          <w:rFonts w:hint="eastAsia"/>
          <w:snapToGrid w:val="0"/>
          <w:color w:val="000000"/>
          <w:szCs w:val="21"/>
        </w:rPr>
        <w:t>乙方通过银企直联办理电子支付业务应保证账户的支付能力，并严格遵守支付结算业务的相关法律法规。乙方提交电子业务指令时，应保证各项指令要素真实、完整、准确。乙方应对支付款项事由的真实性、合法性负责，并负责确保它们发送至甲方指定的交易接口、指定的接收地址等。乙方发出电子业务指令后应及时查询电子业务指令的处理状态，如发现自身未按规定操作，或由于自身其他原因造成电子业务指令未执行、未适当执行、延迟执行的，应及时通知甲方，甲方应积极调查并告知乙方调查结果。</w:t>
      </w:r>
    </w:p>
    <w:p w14:paraId="521E429A">
      <w:pPr>
        <w:widowControl/>
        <w:numPr>
          <w:ilvl w:val="0"/>
          <w:numId w:val="3"/>
        </w:numPr>
        <w:spacing w:line="360" w:lineRule="auto"/>
        <w:ind w:firstLine="424" w:firstLineChars="202"/>
        <w:jc w:val="left"/>
        <w:textAlignment w:val="center"/>
        <w:rPr>
          <w:snapToGrid w:val="0"/>
          <w:color w:val="000000"/>
          <w:szCs w:val="21"/>
        </w:rPr>
      </w:pPr>
      <w:r>
        <w:rPr>
          <w:rFonts w:hint="eastAsia"/>
          <w:snapToGrid w:val="0"/>
          <w:color w:val="000000"/>
          <w:szCs w:val="21"/>
        </w:rPr>
        <w:t>乙方关联公司在乙方系统平台内发起电子业务指令时，乙方应告知关联公司相关指令的受理规则，如因乙方未及时告知或提供了错误的规则信息，导致乙方关联公司损失或引起纠纷，相关责任由乙方自行承担。甲方将根据业务指令的类型采用不同的规则受理，包括但不限于：</w:t>
      </w:r>
    </w:p>
    <w:p w14:paraId="767F09AA">
      <w:pPr>
        <w:numPr>
          <w:ilvl w:val="0"/>
          <w:numId w:val="4"/>
        </w:numPr>
        <w:tabs>
          <w:tab w:val="left" w:pos="709"/>
          <w:tab w:val="clear" w:pos="312"/>
        </w:tabs>
        <w:spacing w:line="360" w:lineRule="auto"/>
        <w:ind w:firstLine="424" w:firstLineChars="202"/>
        <w:textAlignment w:val="center"/>
        <w:rPr>
          <w:snapToGrid w:val="0"/>
          <w:color w:val="000000"/>
          <w:szCs w:val="21"/>
        </w:rPr>
      </w:pPr>
      <w:r>
        <w:rPr>
          <w:rFonts w:hint="eastAsia"/>
          <w:snapToGrid w:val="0"/>
          <w:color w:val="000000"/>
          <w:szCs w:val="21"/>
        </w:rPr>
        <w:t>对于动账类业务指令，乙方关联公司需在乙方系统平台发出电子业务预提交指令，并在甲方指定渠道（如企业网银等）使用甲方提供给乙方关联公司的有效安全工具对业务指令的复核进行签名后，甲方方可受理相关指令并执行。</w:t>
      </w:r>
    </w:p>
    <w:p w14:paraId="1867A41A">
      <w:pPr>
        <w:numPr>
          <w:ilvl w:val="0"/>
          <w:numId w:val="4"/>
        </w:numPr>
        <w:tabs>
          <w:tab w:val="left" w:pos="709"/>
          <w:tab w:val="clear" w:pos="312"/>
        </w:tabs>
        <w:spacing w:line="360" w:lineRule="auto"/>
        <w:ind w:firstLine="424" w:firstLineChars="202"/>
        <w:textAlignment w:val="center"/>
        <w:rPr>
          <w:snapToGrid w:val="0"/>
          <w:color w:val="000000"/>
          <w:szCs w:val="21"/>
        </w:rPr>
      </w:pPr>
      <w:r>
        <w:rPr>
          <w:rFonts w:hint="eastAsia"/>
          <w:snapToGrid w:val="0"/>
          <w:color w:val="000000"/>
          <w:szCs w:val="21"/>
        </w:rPr>
        <w:t>对于信息查询类业务指令，乙方关联公司在乙方系统平台发出电子业务提交指令后，无需乙方关联公司在甲方指定渠道（如企业网银等）复核确认，甲方即时受理相关指令并执行。</w:t>
      </w:r>
    </w:p>
    <w:p w14:paraId="2B493223">
      <w:pPr>
        <w:numPr>
          <w:ilvl w:val="0"/>
          <w:numId w:val="3"/>
        </w:numPr>
        <w:spacing w:line="360" w:lineRule="auto"/>
        <w:ind w:firstLine="424" w:firstLineChars="202"/>
        <w:textAlignment w:val="center"/>
        <w:rPr>
          <w:snapToGrid w:val="0"/>
          <w:color w:val="000000"/>
          <w:szCs w:val="21"/>
        </w:rPr>
      </w:pPr>
      <w:r>
        <w:rPr>
          <w:rFonts w:hint="eastAsia"/>
          <w:snapToGrid w:val="0"/>
          <w:color w:val="000000"/>
          <w:szCs w:val="21"/>
        </w:rPr>
        <w:t>甲方因以下情况没有正确执行乙方指令的，甲方不承担任何责任：</w:t>
      </w:r>
    </w:p>
    <w:p w14:paraId="5D50788F">
      <w:pPr>
        <w:numPr>
          <w:ilvl w:val="0"/>
          <w:numId w:val="5"/>
        </w:numPr>
        <w:tabs>
          <w:tab w:val="left" w:pos="709"/>
        </w:tabs>
        <w:spacing w:line="360" w:lineRule="auto"/>
        <w:ind w:left="0" w:firstLine="424" w:firstLineChars="202"/>
        <w:textAlignment w:val="center"/>
        <w:rPr>
          <w:snapToGrid w:val="0"/>
          <w:szCs w:val="21"/>
        </w:rPr>
      </w:pPr>
      <w:r>
        <w:rPr>
          <w:snapToGrid w:val="0"/>
          <w:szCs w:val="21"/>
        </w:rPr>
        <w:t>甲方接收到信息不明、存在乱码、不完整的电子支付指令，并已及时通知乙方，而乙方未做出任何回应；</w:t>
      </w:r>
    </w:p>
    <w:p w14:paraId="7AF10C82">
      <w:pPr>
        <w:numPr>
          <w:ilvl w:val="0"/>
          <w:numId w:val="5"/>
        </w:numPr>
        <w:tabs>
          <w:tab w:val="left" w:pos="709"/>
        </w:tabs>
        <w:spacing w:line="360" w:lineRule="auto"/>
        <w:ind w:left="0" w:firstLine="424" w:firstLineChars="202"/>
        <w:textAlignment w:val="center"/>
        <w:rPr>
          <w:snapToGrid w:val="0"/>
          <w:szCs w:val="21"/>
        </w:rPr>
      </w:pPr>
      <w:r>
        <w:rPr>
          <w:rFonts w:hint="eastAsia"/>
          <w:snapToGrid w:val="0"/>
          <w:szCs w:val="21"/>
        </w:rPr>
        <w:t>交易</w:t>
      </w:r>
      <w:r>
        <w:rPr>
          <w:snapToGrid w:val="0"/>
          <w:szCs w:val="21"/>
        </w:rPr>
        <w:t>账户存款余额或信用额度不足；</w:t>
      </w:r>
    </w:p>
    <w:p w14:paraId="65166F47">
      <w:pPr>
        <w:numPr>
          <w:ilvl w:val="0"/>
          <w:numId w:val="5"/>
        </w:numPr>
        <w:tabs>
          <w:tab w:val="left" w:pos="709"/>
        </w:tabs>
        <w:spacing w:line="360" w:lineRule="auto"/>
        <w:ind w:left="0" w:firstLine="424" w:firstLineChars="202"/>
        <w:textAlignment w:val="center"/>
        <w:rPr>
          <w:snapToGrid w:val="0"/>
          <w:szCs w:val="21"/>
        </w:rPr>
      </w:pPr>
      <w:r>
        <w:rPr>
          <w:rFonts w:hint="eastAsia"/>
          <w:snapToGrid w:val="0"/>
          <w:szCs w:val="21"/>
        </w:rPr>
        <w:t>交易</w:t>
      </w:r>
      <w:r>
        <w:rPr>
          <w:snapToGrid w:val="0"/>
          <w:szCs w:val="21"/>
        </w:rPr>
        <w:t>账户内资金被依法冻结或扣划；</w:t>
      </w:r>
    </w:p>
    <w:p w14:paraId="6C95C64E">
      <w:pPr>
        <w:numPr>
          <w:ilvl w:val="0"/>
          <w:numId w:val="5"/>
        </w:numPr>
        <w:tabs>
          <w:tab w:val="left" w:pos="709"/>
        </w:tabs>
        <w:spacing w:line="360" w:lineRule="auto"/>
        <w:ind w:left="0" w:firstLine="424" w:firstLineChars="202"/>
        <w:textAlignment w:val="center"/>
        <w:rPr>
          <w:snapToGrid w:val="0"/>
          <w:szCs w:val="21"/>
        </w:rPr>
      </w:pPr>
      <w:r>
        <w:rPr>
          <w:snapToGrid w:val="0"/>
          <w:szCs w:val="21"/>
        </w:rPr>
        <w:t>乙方未能按照甲方的有关业务规定正确操作；</w:t>
      </w:r>
    </w:p>
    <w:p w14:paraId="657E8AC9">
      <w:pPr>
        <w:numPr>
          <w:ilvl w:val="0"/>
          <w:numId w:val="5"/>
        </w:numPr>
        <w:tabs>
          <w:tab w:val="left" w:pos="709"/>
        </w:tabs>
        <w:spacing w:line="360" w:lineRule="auto"/>
        <w:ind w:left="0" w:firstLine="424" w:firstLineChars="202"/>
        <w:textAlignment w:val="center"/>
        <w:rPr>
          <w:snapToGrid w:val="0"/>
          <w:szCs w:val="21"/>
        </w:rPr>
      </w:pPr>
      <w:r>
        <w:rPr>
          <w:snapToGrid w:val="0"/>
          <w:szCs w:val="21"/>
        </w:rPr>
        <w:t>不可抗力或其他不可归因于甲方的情况。</w:t>
      </w:r>
    </w:p>
    <w:p w14:paraId="01E1B66D">
      <w:pPr>
        <w:numPr>
          <w:ilvl w:val="0"/>
          <w:numId w:val="3"/>
        </w:numPr>
        <w:spacing w:line="360" w:lineRule="auto"/>
        <w:ind w:firstLine="424" w:firstLineChars="202"/>
        <w:textAlignment w:val="center"/>
        <w:rPr>
          <w:snapToGrid w:val="0"/>
          <w:color w:val="000000"/>
          <w:szCs w:val="21"/>
        </w:rPr>
      </w:pPr>
      <w:r>
        <w:rPr>
          <w:snapToGrid w:val="0"/>
          <w:color w:val="000000"/>
          <w:szCs w:val="21"/>
        </w:rPr>
        <w:t>甲方收到乙方对银企直联服务的问题反映时，应及时进行调查并告知乙方调查结果。</w:t>
      </w:r>
    </w:p>
    <w:p w14:paraId="7CFA7E25">
      <w:pPr>
        <w:numPr>
          <w:ilvl w:val="0"/>
          <w:numId w:val="3"/>
        </w:numPr>
        <w:spacing w:line="360" w:lineRule="auto"/>
        <w:ind w:firstLine="424" w:firstLineChars="202"/>
        <w:textAlignment w:val="center"/>
        <w:rPr>
          <w:snapToGrid w:val="0"/>
          <w:color w:val="000000"/>
          <w:szCs w:val="21"/>
        </w:rPr>
      </w:pPr>
      <w:r>
        <w:rPr>
          <w:rFonts w:hint="eastAsia"/>
          <w:snapToGrid w:val="0"/>
          <w:color w:val="000000"/>
          <w:szCs w:val="21"/>
        </w:rPr>
        <w:t>乙方如暂停、停止使用或恢复使用甲方银企直联服务，甲方应按乙方的要求注销或重新发放安全工具。</w:t>
      </w:r>
    </w:p>
    <w:p w14:paraId="1C72A645">
      <w:pPr>
        <w:numPr>
          <w:ilvl w:val="0"/>
          <w:numId w:val="3"/>
        </w:numPr>
        <w:spacing w:line="360" w:lineRule="auto"/>
        <w:ind w:firstLine="424" w:firstLineChars="202"/>
        <w:textAlignment w:val="center"/>
        <w:rPr>
          <w:snapToGrid w:val="0"/>
          <w:color w:val="000000"/>
          <w:szCs w:val="21"/>
        </w:rPr>
      </w:pPr>
      <w:r>
        <w:rPr>
          <w:snapToGrid w:val="0"/>
          <w:color w:val="000000"/>
          <w:szCs w:val="21"/>
        </w:rPr>
        <w:t>乙方知悉并同意甲方有权根据不时发布或修改的法律、法规、监管政策的要求和指令以及甲方自身业务管理的需要暂停、关闭或重新开放银企直联业务功能，</w:t>
      </w:r>
      <w:r>
        <w:rPr>
          <w:rFonts w:hint="eastAsia"/>
          <w:snapToGrid w:val="0"/>
          <w:color w:val="000000"/>
          <w:szCs w:val="21"/>
        </w:rPr>
        <w:t>并</w:t>
      </w:r>
      <w:r>
        <w:rPr>
          <w:snapToGrid w:val="0"/>
          <w:color w:val="000000"/>
          <w:szCs w:val="21"/>
        </w:rPr>
        <w:t>在以适当方式（通过银企直联系统通知、在甲方官方网站或营业网点公告等任一方式）通知乙方后，甲方即可暂停、关闭或重新开放相关功能</w:t>
      </w:r>
      <w:r>
        <w:rPr>
          <w:rFonts w:hint="eastAsia"/>
          <w:snapToGrid w:val="0"/>
          <w:color w:val="000000"/>
          <w:szCs w:val="21"/>
        </w:rPr>
        <w:t>，</w:t>
      </w:r>
      <w:r>
        <w:rPr>
          <w:snapToGrid w:val="0"/>
          <w:color w:val="000000"/>
          <w:szCs w:val="21"/>
        </w:rPr>
        <w:t>无需事先征得乙方同意。</w:t>
      </w:r>
    </w:p>
    <w:p w14:paraId="11370AB7">
      <w:pPr>
        <w:numPr>
          <w:ilvl w:val="0"/>
          <w:numId w:val="3"/>
        </w:numPr>
        <w:spacing w:line="360" w:lineRule="auto"/>
        <w:ind w:firstLine="424" w:firstLineChars="202"/>
        <w:textAlignment w:val="center"/>
        <w:rPr>
          <w:snapToGrid w:val="0"/>
          <w:color w:val="000000"/>
          <w:szCs w:val="21"/>
        </w:rPr>
      </w:pPr>
      <w:r>
        <w:rPr>
          <w:snapToGrid w:val="0"/>
          <w:color w:val="000000"/>
          <w:szCs w:val="21"/>
        </w:rPr>
        <w:t>乙方知悉并同意甲方有权根据需要不时调整、变更本协议及相关业务规则，变更后的协议和规则一经公布（通过银企直联系统通知、在甲方官方网站或营业网点公告等任一方式），立即取代原协议及业务规则并自动生效。</w:t>
      </w:r>
      <w:r>
        <w:rPr>
          <w:rFonts w:hint="eastAsia"/>
          <w:snapToGrid w:val="0"/>
          <w:color w:val="000000"/>
          <w:szCs w:val="21"/>
        </w:rPr>
        <w:t>乙方可通过甲方官方渠道对变更内容进行确认，</w:t>
      </w:r>
      <w:r>
        <w:rPr>
          <w:snapToGrid w:val="0"/>
          <w:color w:val="000000"/>
          <w:szCs w:val="21"/>
        </w:rPr>
        <w:t>如乙方不同意接受甲方</w:t>
      </w:r>
      <w:r>
        <w:rPr>
          <w:rFonts w:hint="eastAsia"/>
          <w:snapToGrid w:val="0"/>
          <w:color w:val="000000"/>
          <w:szCs w:val="21"/>
        </w:rPr>
        <w:t>新发布的协议内容</w:t>
      </w:r>
      <w:r>
        <w:rPr>
          <w:snapToGrid w:val="0"/>
          <w:color w:val="000000"/>
          <w:szCs w:val="21"/>
        </w:rPr>
        <w:t>，可以选择停止使用本服务，如乙方</w:t>
      </w:r>
      <w:r>
        <w:rPr>
          <w:rFonts w:hint="eastAsia"/>
          <w:snapToGrid w:val="0"/>
          <w:color w:val="000000"/>
          <w:szCs w:val="21"/>
        </w:rPr>
        <w:t>对新发布的协议进行确认并</w:t>
      </w:r>
      <w:r>
        <w:rPr>
          <w:snapToGrid w:val="0"/>
          <w:color w:val="000000"/>
          <w:szCs w:val="21"/>
        </w:rPr>
        <w:t>继续使用本服务，即表示甲方已接受经调整或变更的协议内容和业务规则。</w:t>
      </w:r>
    </w:p>
    <w:p w14:paraId="767D809E">
      <w:pPr>
        <w:numPr>
          <w:ilvl w:val="0"/>
          <w:numId w:val="3"/>
        </w:numPr>
        <w:spacing w:line="360" w:lineRule="auto"/>
        <w:ind w:firstLine="424" w:firstLineChars="202"/>
        <w:textAlignment w:val="center"/>
        <w:rPr>
          <w:snapToGrid w:val="0"/>
          <w:color w:val="000000"/>
          <w:szCs w:val="21"/>
        </w:rPr>
      </w:pPr>
      <w:r>
        <w:rPr>
          <w:snapToGrid w:val="0"/>
          <w:color w:val="000000"/>
          <w:szCs w:val="21"/>
        </w:rPr>
        <w:t>乙方对于</w:t>
      </w:r>
      <w:r>
        <w:rPr>
          <w:rFonts w:hint="eastAsia"/>
          <w:snapToGrid w:val="0"/>
          <w:color w:val="000000"/>
          <w:szCs w:val="21"/>
        </w:rPr>
        <w:t>乙方</w:t>
      </w:r>
      <w:r>
        <w:rPr>
          <w:snapToGrid w:val="0"/>
          <w:color w:val="000000"/>
          <w:szCs w:val="21"/>
        </w:rPr>
        <w:t>所使用的非甲方提供的相关软件的合法性承担责任。</w:t>
      </w:r>
    </w:p>
    <w:p w14:paraId="5747C78E">
      <w:pPr>
        <w:pStyle w:val="23"/>
        <w:numPr>
          <w:ilvl w:val="0"/>
          <w:numId w:val="1"/>
        </w:numPr>
        <w:spacing w:before="240" w:after="60"/>
        <w:ind w:left="0" w:firstLine="426" w:firstLineChars="202"/>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安全条款</w:t>
      </w:r>
    </w:p>
    <w:p w14:paraId="6E3A8C8A">
      <w:pPr>
        <w:numPr>
          <w:ilvl w:val="0"/>
          <w:numId w:val="6"/>
        </w:numPr>
        <w:tabs>
          <w:tab w:val="left" w:pos="851"/>
        </w:tabs>
        <w:spacing w:line="360" w:lineRule="auto"/>
        <w:ind w:firstLine="424" w:firstLineChars="202"/>
        <w:textAlignment w:val="center"/>
        <w:rPr>
          <w:snapToGrid w:val="0"/>
          <w:color w:val="000000"/>
          <w:szCs w:val="21"/>
        </w:rPr>
      </w:pPr>
      <w:r>
        <w:rPr>
          <w:snapToGrid w:val="0"/>
          <w:color w:val="000000"/>
          <w:szCs w:val="21"/>
        </w:rPr>
        <w:t>乙方应按照甲方规定的接口规范、数据格式等技术标准建立与甲方银企直联的安全连接。</w:t>
      </w:r>
    </w:p>
    <w:p w14:paraId="577A8B91">
      <w:pPr>
        <w:numPr>
          <w:ilvl w:val="0"/>
          <w:numId w:val="6"/>
        </w:numPr>
        <w:tabs>
          <w:tab w:val="left" w:pos="851"/>
        </w:tabs>
        <w:spacing w:line="360" w:lineRule="auto"/>
        <w:ind w:firstLine="424" w:firstLineChars="202"/>
        <w:textAlignment w:val="center"/>
        <w:rPr>
          <w:snapToGrid w:val="0"/>
          <w:color w:val="000000"/>
          <w:szCs w:val="21"/>
        </w:rPr>
      </w:pPr>
      <w:r>
        <w:rPr>
          <w:snapToGrid w:val="0"/>
          <w:color w:val="000000"/>
          <w:szCs w:val="21"/>
        </w:rPr>
        <w:t>乙方负责自行开发或委托开发的内部系统的安全，内部系统应有必要的权限设置和风险控制手段。</w:t>
      </w:r>
    </w:p>
    <w:p w14:paraId="35653138">
      <w:pPr>
        <w:numPr>
          <w:ilvl w:val="0"/>
          <w:numId w:val="6"/>
        </w:numPr>
        <w:tabs>
          <w:tab w:val="left" w:pos="851"/>
        </w:tabs>
        <w:spacing w:line="360" w:lineRule="auto"/>
        <w:ind w:firstLine="424" w:firstLineChars="202"/>
        <w:textAlignment w:val="center"/>
        <w:rPr>
          <w:snapToGrid w:val="0"/>
          <w:color w:val="000000"/>
          <w:szCs w:val="21"/>
        </w:rPr>
      </w:pPr>
      <w:r>
        <w:rPr>
          <w:snapToGrid w:val="0"/>
          <w:color w:val="000000"/>
          <w:szCs w:val="21"/>
        </w:rPr>
        <w:t>甲乙双方应共同维护银企直联中双方系统的安全连接，采取必要的手段和措施保证安全、准确地交换业务数据，并采取必要的手段和措施保证各自的网络不被攻击。</w:t>
      </w:r>
    </w:p>
    <w:p w14:paraId="3B76906D">
      <w:pPr>
        <w:numPr>
          <w:ilvl w:val="0"/>
          <w:numId w:val="6"/>
        </w:numPr>
        <w:tabs>
          <w:tab w:val="left" w:pos="851"/>
        </w:tabs>
        <w:spacing w:line="360" w:lineRule="auto"/>
        <w:ind w:firstLine="424" w:firstLineChars="202"/>
        <w:textAlignment w:val="center"/>
        <w:rPr>
          <w:snapToGrid w:val="0"/>
          <w:color w:val="000000"/>
          <w:szCs w:val="21"/>
        </w:rPr>
      </w:pPr>
      <w:r>
        <w:rPr>
          <w:snapToGrid w:val="0"/>
          <w:color w:val="000000"/>
          <w:szCs w:val="21"/>
        </w:rPr>
        <w:t>乙方应妥善保管安全工具、用户信息及相关密码，不提供给</w:t>
      </w:r>
      <w:r>
        <w:rPr>
          <w:rFonts w:hint="eastAsia"/>
          <w:snapToGrid w:val="0"/>
          <w:color w:val="000000"/>
          <w:szCs w:val="21"/>
        </w:rPr>
        <w:t>其他企业或个人</w:t>
      </w:r>
      <w:r>
        <w:rPr>
          <w:snapToGrid w:val="0"/>
          <w:color w:val="000000"/>
          <w:szCs w:val="21"/>
        </w:rPr>
        <w:t>使用，</w:t>
      </w:r>
      <w:r>
        <w:rPr>
          <w:rFonts w:hint="eastAsia"/>
          <w:snapToGrid w:val="0"/>
          <w:color w:val="000000"/>
          <w:szCs w:val="21"/>
        </w:rPr>
        <w:t>如乙方提供给其他企业或个人</w:t>
      </w:r>
      <w:r>
        <w:rPr>
          <w:snapToGrid w:val="0"/>
          <w:color w:val="000000"/>
          <w:szCs w:val="21"/>
        </w:rPr>
        <w:t>使用所导致损失</w:t>
      </w:r>
      <w:r>
        <w:rPr>
          <w:rFonts w:hint="eastAsia"/>
          <w:snapToGrid w:val="0"/>
          <w:color w:val="000000"/>
          <w:szCs w:val="21"/>
        </w:rPr>
        <w:t>，由乙方</w:t>
      </w:r>
      <w:r>
        <w:rPr>
          <w:snapToGrid w:val="0"/>
          <w:color w:val="000000"/>
          <w:szCs w:val="21"/>
        </w:rPr>
        <w:t>承担</w:t>
      </w:r>
      <w:r>
        <w:rPr>
          <w:rFonts w:hint="eastAsia"/>
          <w:snapToGrid w:val="0"/>
          <w:color w:val="000000"/>
          <w:szCs w:val="21"/>
        </w:rPr>
        <w:t>全部</w:t>
      </w:r>
      <w:r>
        <w:rPr>
          <w:snapToGrid w:val="0"/>
          <w:color w:val="000000"/>
          <w:szCs w:val="21"/>
        </w:rPr>
        <w:t>责任。</w:t>
      </w:r>
      <w:r>
        <w:rPr>
          <w:rFonts w:hint="eastAsia"/>
          <w:snapToGrid w:val="0"/>
          <w:color w:val="000000"/>
          <w:szCs w:val="21"/>
        </w:rPr>
        <w:t>如</w:t>
      </w:r>
      <w:r>
        <w:rPr>
          <w:snapToGrid w:val="0"/>
          <w:color w:val="000000"/>
          <w:szCs w:val="21"/>
        </w:rPr>
        <w:t>出现安全工具的损坏、丢失，</w:t>
      </w:r>
      <w:r>
        <w:rPr>
          <w:rFonts w:hint="eastAsia"/>
          <w:snapToGrid w:val="0"/>
          <w:color w:val="000000"/>
          <w:szCs w:val="21"/>
        </w:rPr>
        <w:t>乙方</w:t>
      </w:r>
      <w:r>
        <w:rPr>
          <w:snapToGrid w:val="0"/>
          <w:color w:val="000000"/>
          <w:szCs w:val="21"/>
        </w:rPr>
        <w:t>应及时通知甲方</w:t>
      </w:r>
      <w:r>
        <w:rPr>
          <w:rFonts w:hint="eastAsia"/>
          <w:snapToGrid w:val="0"/>
          <w:color w:val="000000"/>
          <w:szCs w:val="21"/>
        </w:rPr>
        <w:t>受理暂停银企直联服务</w:t>
      </w:r>
      <w:r>
        <w:rPr>
          <w:snapToGrid w:val="0"/>
          <w:color w:val="000000"/>
          <w:szCs w:val="21"/>
        </w:rPr>
        <w:t>并重新申请</w:t>
      </w:r>
      <w:r>
        <w:rPr>
          <w:rFonts w:hint="eastAsia"/>
          <w:snapToGrid w:val="0"/>
          <w:color w:val="000000"/>
          <w:szCs w:val="21"/>
        </w:rPr>
        <w:t>安全工具，</w:t>
      </w:r>
      <w:r>
        <w:rPr>
          <w:snapToGrid w:val="0"/>
          <w:color w:val="000000"/>
          <w:szCs w:val="21"/>
        </w:rPr>
        <w:t>否则，由此造成的损失，由乙方承担</w:t>
      </w:r>
      <w:r>
        <w:rPr>
          <w:rFonts w:hint="eastAsia"/>
          <w:snapToGrid w:val="0"/>
          <w:color w:val="000000"/>
          <w:szCs w:val="21"/>
        </w:rPr>
        <w:t>全部</w:t>
      </w:r>
      <w:r>
        <w:rPr>
          <w:snapToGrid w:val="0"/>
          <w:color w:val="000000"/>
          <w:szCs w:val="21"/>
        </w:rPr>
        <w:t>责任。</w:t>
      </w:r>
    </w:p>
    <w:p w14:paraId="6BE61B33">
      <w:pPr>
        <w:numPr>
          <w:ilvl w:val="0"/>
          <w:numId w:val="6"/>
        </w:numPr>
        <w:tabs>
          <w:tab w:val="left" w:pos="851"/>
        </w:tabs>
        <w:spacing w:line="360" w:lineRule="auto"/>
        <w:ind w:firstLine="424" w:firstLineChars="202"/>
        <w:textAlignment w:val="center"/>
        <w:rPr>
          <w:snapToGrid w:val="0"/>
          <w:color w:val="000000"/>
          <w:szCs w:val="21"/>
        </w:rPr>
      </w:pPr>
      <w:r>
        <w:rPr>
          <w:snapToGrid w:val="0"/>
          <w:color w:val="000000"/>
          <w:szCs w:val="21"/>
        </w:rPr>
        <w:t>乙方应确保其银企直联用户在本协议期间或其后不会做出任何影响甲方银企直联系统安全的行为。</w:t>
      </w:r>
    </w:p>
    <w:p w14:paraId="7E160033">
      <w:pPr>
        <w:pStyle w:val="23"/>
        <w:numPr>
          <w:ilvl w:val="0"/>
          <w:numId w:val="1"/>
        </w:numPr>
        <w:spacing w:before="240" w:after="60"/>
        <w:ind w:left="0" w:firstLine="426" w:firstLineChars="202"/>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保密条款</w:t>
      </w:r>
    </w:p>
    <w:p w14:paraId="4CB99A80">
      <w:pPr>
        <w:numPr>
          <w:ilvl w:val="0"/>
          <w:numId w:val="7"/>
        </w:numPr>
        <w:tabs>
          <w:tab w:val="left" w:pos="851"/>
        </w:tabs>
        <w:spacing w:line="360" w:lineRule="auto"/>
        <w:ind w:firstLine="424" w:firstLineChars="202"/>
        <w:textAlignment w:val="center"/>
        <w:rPr>
          <w:snapToGrid w:val="0"/>
          <w:color w:val="000000"/>
          <w:szCs w:val="21"/>
        </w:rPr>
      </w:pPr>
      <w:r>
        <w:rPr>
          <w:snapToGrid w:val="0"/>
          <w:color w:val="000000"/>
          <w:szCs w:val="21"/>
        </w:rPr>
        <w:t>甲方应在法律法规许可范围内使用乙方的资料和交易记录。甲方对乙方提供的申请资料和企业信息资料等负有保密义务，但国家法律法规和规章另有规定的除外。</w:t>
      </w:r>
    </w:p>
    <w:p w14:paraId="7D860869">
      <w:pPr>
        <w:numPr>
          <w:ilvl w:val="0"/>
          <w:numId w:val="7"/>
        </w:numPr>
        <w:tabs>
          <w:tab w:val="left" w:pos="851"/>
        </w:tabs>
        <w:spacing w:line="360" w:lineRule="auto"/>
        <w:ind w:firstLine="424" w:firstLineChars="202"/>
        <w:textAlignment w:val="center"/>
        <w:rPr>
          <w:snapToGrid w:val="0"/>
          <w:color w:val="000000"/>
          <w:szCs w:val="21"/>
        </w:rPr>
      </w:pPr>
      <w:r>
        <w:rPr>
          <w:rFonts w:hint="eastAsia"/>
          <w:snapToGrid w:val="0"/>
          <w:color w:val="000000"/>
          <w:szCs w:val="21"/>
        </w:rPr>
        <w:t>甲乙双方共同承诺：双方互不侵犯对方的知识产权；双方在本协议有效期间获知的对方的商业秘密、技术秘密等需双方保密的事项，在协议期间及协议终止后两年内不得向第三方披露或公开；双方对保密期限另有约定的，从其约定。</w:t>
      </w:r>
    </w:p>
    <w:p w14:paraId="535AFE8D">
      <w:pPr>
        <w:pStyle w:val="23"/>
        <w:numPr>
          <w:ilvl w:val="0"/>
          <w:numId w:val="1"/>
        </w:numPr>
        <w:spacing w:before="240" w:after="60"/>
        <w:ind w:left="0" w:firstLine="426" w:firstLineChars="202"/>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费用条款</w:t>
      </w:r>
    </w:p>
    <w:p w14:paraId="0AC5DFC6">
      <w:pPr>
        <w:numPr>
          <w:ilvl w:val="0"/>
          <w:numId w:val="8"/>
        </w:numPr>
        <w:tabs>
          <w:tab w:val="left" w:pos="851"/>
        </w:tabs>
        <w:spacing w:line="360" w:lineRule="auto"/>
        <w:ind w:firstLine="424" w:firstLineChars="202"/>
        <w:textAlignment w:val="center"/>
        <w:rPr>
          <w:snapToGrid w:val="0"/>
          <w:color w:val="000000"/>
          <w:szCs w:val="21"/>
        </w:rPr>
      </w:pPr>
      <w:r>
        <w:rPr>
          <w:snapToGrid w:val="0"/>
          <w:color w:val="000000"/>
          <w:szCs w:val="21"/>
        </w:rPr>
        <w:t>甲方有权制定银企直联业务收费标准，并在其</w:t>
      </w:r>
      <w:r>
        <w:rPr>
          <w:rFonts w:hint="eastAsia"/>
          <w:snapToGrid w:val="0"/>
          <w:color w:val="000000"/>
          <w:szCs w:val="21"/>
        </w:rPr>
        <w:t>官方</w:t>
      </w:r>
      <w:r>
        <w:rPr>
          <w:snapToGrid w:val="0"/>
          <w:color w:val="000000"/>
          <w:szCs w:val="21"/>
        </w:rPr>
        <w:t>网站</w:t>
      </w:r>
      <w:r>
        <w:rPr>
          <w:rFonts w:hint="eastAsia"/>
          <w:snapToGrid w:val="0"/>
          <w:color w:val="000000"/>
          <w:szCs w:val="21"/>
        </w:rPr>
        <w:t>或者</w:t>
      </w:r>
      <w:r>
        <w:rPr>
          <w:snapToGrid w:val="0"/>
          <w:color w:val="000000"/>
          <w:szCs w:val="21"/>
        </w:rPr>
        <w:t>营业网点进行公布。</w:t>
      </w:r>
    </w:p>
    <w:p w14:paraId="43B9E6B5">
      <w:pPr>
        <w:numPr>
          <w:ilvl w:val="0"/>
          <w:numId w:val="8"/>
        </w:numPr>
        <w:tabs>
          <w:tab w:val="left" w:pos="851"/>
        </w:tabs>
        <w:spacing w:line="360" w:lineRule="auto"/>
        <w:ind w:firstLine="424" w:firstLineChars="202"/>
        <w:textAlignment w:val="center"/>
        <w:rPr>
          <w:snapToGrid w:val="0"/>
          <w:color w:val="000000"/>
          <w:szCs w:val="21"/>
        </w:rPr>
      </w:pPr>
      <w:r>
        <w:rPr>
          <w:snapToGrid w:val="0"/>
          <w:color w:val="000000"/>
          <w:szCs w:val="21"/>
        </w:rPr>
        <w:t>乙方使用甲方提供的银企直联服务，应按照甲方银企直联业务相关收费标准（以《</w:t>
      </w:r>
      <w:r>
        <w:rPr>
          <w:rFonts w:hint="eastAsia"/>
          <w:snapToGrid w:val="0"/>
          <w:color w:val="000000"/>
          <w:szCs w:val="21"/>
        </w:rPr>
        <w:t>平安银行</w:t>
      </w:r>
      <w:r>
        <w:rPr>
          <w:snapToGrid w:val="0"/>
          <w:color w:val="000000"/>
          <w:szCs w:val="21"/>
        </w:rPr>
        <w:t>银企直联服务申请表》为准）支付各项费用，同意甲方从其指定账户主动扣收相关服务费用，并且保证在该账户中保留足够的余额。</w:t>
      </w:r>
      <w:r>
        <w:rPr>
          <w:rFonts w:hint="eastAsia"/>
          <w:snapToGrid w:val="0"/>
          <w:color w:val="000000"/>
          <w:szCs w:val="21"/>
        </w:rPr>
        <w:t>如因账户余额不足无法支付相关费用而导致银企直联服务暂停使用，相应损失由乙方全部承担</w:t>
      </w:r>
      <w:r>
        <w:rPr>
          <w:snapToGrid w:val="0"/>
          <w:color w:val="000000"/>
          <w:szCs w:val="21"/>
        </w:rPr>
        <w:t>。</w:t>
      </w:r>
    </w:p>
    <w:p w14:paraId="05F9309B">
      <w:pPr>
        <w:numPr>
          <w:ilvl w:val="0"/>
          <w:numId w:val="8"/>
        </w:numPr>
        <w:tabs>
          <w:tab w:val="left" w:pos="851"/>
        </w:tabs>
        <w:spacing w:line="360" w:lineRule="auto"/>
        <w:ind w:firstLine="424" w:firstLineChars="202"/>
        <w:textAlignment w:val="center"/>
        <w:rPr>
          <w:snapToGrid w:val="0"/>
          <w:color w:val="000000"/>
          <w:szCs w:val="21"/>
        </w:rPr>
      </w:pPr>
      <w:r>
        <w:rPr>
          <w:rFonts w:hint="eastAsia"/>
          <w:snapToGrid w:val="0"/>
          <w:color w:val="000000"/>
          <w:szCs w:val="21"/>
        </w:rPr>
        <w:t>费用退还约定</w:t>
      </w:r>
    </w:p>
    <w:p w14:paraId="7CEA7DF8">
      <w:pPr>
        <w:numPr>
          <w:ilvl w:val="0"/>
          <w:numId w:val="9"/>
        </w:numPr>
        <w:spacing w:line="360" w:lineRule="auto"/>
        <w:ind w:left="141" w:leftChars="67" w:firstLine="424" w:firstLineChars="202"/>
        <w:textAlignment w:val="center"/>
        <w:rPr>
          <w:snapToGrid w:val="0"/>
          <w:szCs w:val="21"/>
        </w:rPr>
      </w:pPr>
      <w:r>
        <w:rPr>
          <w:rFonts w:hint="eastAsia"/>
          <w:snapToGrid w:val="0"/>
          <w:szCs w:val="21"/>
        </w:rPr>
        <w:t>签约时如甲方未收取相关费用，甲乙双方不涉及费用退还。</w:t>
      </w:r>
    </w:p>
    <w:p w14:paraId="5F9A9744">
      <w:pPr>
        <w:numPr>
          <w:ilvl w:val="0"/>
          <w:numId w:val="9"/>
        </w:numPr>
        <w:spacing w:line="360" w:lineRule="auto"/>
        <w:ind w:left="141" w:leftChars="67" w:firstLine="424" w:firstLineChars="202"/>
        <w:textAlignment w:val="center"/>
        <w:rPr>
          <w:snapToGrid w:val="0"/>
          <w:szCs w:val="21"/>
        </w:rPr>
      </w:pPr>
      <w:r>
        <w:rPr>
          <w:rFonts w:hint="eastAsia"/>
          <w:snapToGrid w:val="0"/>
          <w:szCs w:val="21"/>
        </w:rPr>
        <w:t>甲方已收取相关费用且甲方还未上线相关项目，如乙方申请关闭银企直联服务，甲方可在扣/收取相关违约金后将乙方已缴纳剩余费用退还。</w:t>
      </w:r>
    </w:p>
    <w:p w14:paraId="2197A378">
      <w:pPr>
        <w:numPr>
          <w:ilvl w:val="0"/>
          <w:numId w:val="9"/>
        </w:numPr>
        <w:spacing w:line="360" w:lineRule="auto"/>
        <w:ind w:left="141" w:leftChars="67" w:firstLine="424" w:firstLineChars="202"/>
        <w:textAlignment w:val="center"/>
        <w:rPr>
          <w:snapToGrid w:val="0"/>
          <w:szCs w:val="21"/>
        </w:rPr>
      </w:pPr>
      <w:r>
        <w:rPr>
          <w:rFonts w:hint="eastAsia"/>
          <w:snapToGrid w:val="0"/>
          <w:szCs w:val="21"/>
        </w:rPr>
        <w:t>甲方已收取相关费用且成功上线的，如乙方申请解除协议，甲方不退还乙方已缴纳且甲方已提供服务的有关费用。</w:t>
      </w:r>
    </w:p>
    <w:p w14:paraId="00D1C9C7">
      <w:pPr>
        <w:numPr>
          <w:ilvl w:val="0"/>
          <w:numId w:val="9"/>
        </w:numPr>
        <w:spacing w:line="360" w:lineRule="auto"/>
        <w:ind w:left="141" w:leftChars="67" w:firstLine="424" w:firstLineChars="202"/>
        <w:textAlignment w:val="center"/>
        <w:rPr>
          <w:snapToGrid w:val="0"/>
          <w:szCs w:val="21"/>
        </w:rPr>
      </w:pPr>
      <w:r>
        <w:rPr>
          <w:rFonts w:hint="eastAsia"/>
          <w:snapToGrid w:val="0"/>
          <w:szCs w:val="21"/>
        </w:rPr>
        <w:t>协议终止（含提前终止），甲方不退还乙方已缴纳且甲方已提供服务的有关费用。</w:t>
      </w:r>
    </w:p>
    <w:p w14:paraId="61DFD435">
      <w:pPr>
        <w:pStyle w:val="23"/>
        <w:numPr>
          <w:ilvl w:val="0"/>
          <w:numId w:val="1"/>
        </w:numPr>
        <w:spacing w:before="240" w:after="60"/>
        <w:ind w:left="0" w:firstLine="426" w:firstLineChars="202"/>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违约责任</w:t>
      </w:r>
    </w:p>
    <w:p w14:paraId="39B5ED4E">
      <w:pPr>
        <w:numPr>
          <w:ilvl w:val="0"/>
          <w:numId w:val="10"/>
        </w:numPr>
        <w:tabs>
          <w:tab w:val="left" w:pos="851"/>
        </w:tabs>
        <w:spacing w:line="360" w:lineRule="auto"/>
        <w:ind w:firstLine="424" w:firstLineChars="202"/>
        <w:textAlignment w:val="center"/>
        <w:rPr>
          <w:snapToGrid w:val="0"/>
          <w:color w:val="000000"/>
          <w:szCs w:val="21"/>
        </w:rPr>
      </w:pPr>
      <w:bookmarkStart w:id="0" w:name="_Toc173121177"/>
      <w:bookmarkStart w:id="1" w:name="_Toc173120755"/>
      <w:r>
        <w:rPr>
          <w:snapToGrid w:val="0"/>
          <w:color w:val="000000"/>
          <w:szCs w:val="21"/>
        </w:rPr>
        <w:t>甲乙双方在履行本协议的过程中，如有任何一方违反本协议条款且情节严重的，则另一方有权终止本协议，但需提前十个工作日通知违约方。</w:t>
      </w:r>
      <w:bookmarkEnd w:id="0"/>
      <w:bookmarkEnd w:id="1"/>
    </w:p>
    <w:p w14:paraId="04143E76">
      <w:pPr>
        <w:numPr>
          <w:ilvl w:val="0"/>
          <w:numId w:val="10"/>
        </w:numPr>
        <w:tabs>
          <w:tab w:val="left" w:pos="851"/>
        </w:tabs>
        <w:spacing w:line="360" w:lineRule="auto"/>
        <w:ind w:firstLine="424" w:firstLineChars="202"/>
        <w:textAlignment w:val="center"/>
        <w:rPr>
          <w:snapToGrid w:val="0"/>
          <w:color w:val="000000"/>
          <w:szCs w:val="21"/>
        </w:rPr>
      </w:pPr>
      <w:r>
        <w:rPr>
          <w:snapToGrid w:val="0"/>
          <w:color w:val="000000"/>
          <w:szCs w:val="21"/>
        </w:rPr>
        <w:t>甲乙双方若一方违反本协议内容，另一方有权要求违约方承担违约责任及赔偿因其行为造成的直接损失，并保留依法追究违约方法律责任的权利。</w:t>
      </w:r>
    </w:p>
    <w:p w14:paraId="4D2BEC51">
      <w:pPr>
        <w:pStyle w:val="23"/>
        <w:numPr>
          <w:ilvl w:val="0"/>
          <w:numId w:val="1"/>
        </w:numPr>
        <w:spacing w:before="240" w:after="60"/>
        <w:ind w:left="0" w:firstLine="426" w:firstLineChars="202"/>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免责条款</w:t>
      </w:r>
    </w:p>
    <w:p w14:paraId="23DE6CCA">
      <w:pPr>
        <w:spacing w:line="360" w:lineRule="auto"/>
        <w:ind w:firstLine="424" w:firstLineChars="202"/>
        <w:textAlignment w:val="center"/>
        <w:rPr>
          <w:snapToGrid w:val="0"/>
          <w:szCs w:val="21"/>
        </w:rPr>
      </w:pPr>
      <w:r>
        <w:rPr>
          <w:snapToGrid w:val="0"/>
          <w:szCs w:val="21"/>
        </w:rPr>
        <w:t>因战争、自然灾害、网络故障、版本升级、未按期交纳年费等原因，而致使甲乙任何一方无法享有本协议所规定的权利的或遭受损失的，其他一方不因此承担责任，但双方均应尽其所能减少损失，并在前述情况消除后合理的时间内将处理方案通知其他一方。</w:t>
      </w:r>
    </w:p>
    <w:p w14:paraId="3F324866">
      <w:pPr>
        <w:pStyle w:val="23"/>
        <w:numPr>
          <w:ilvl w:val="0"/>
          <w:numId w:val="1"/>
        </w:numPr>
        <w:spacing w:before="240" w:after="60"/>
        <w:ind w:left="0" w:firstLine="426" w:firstLineChars="202"/>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纠纷处理</w:t>
      </w:r>
    </w:p>
    <w:p w14:paraId="6473E5A2">
      <w:pPr>
        <w:spacing w:line="360" w:lineRule="auto"/>
        <w:ind w:firstLine="424" w:firstLineChars="202"/>
        <w:textAlignment w:val="center"/>
        <w:rPr>
          <w:snapToGrid w:val="0"/>
          <w:szCs w:val="21"/>
        </w:rPr>
      </w:pPr>
      <w:r>
        <w:rPr>
          <w:snapToGrid w:val="0"/>
          <w:szCs w:val="21"/>
        </w:rPr>
        <w:t>双方在履行本协议的过程中，如发生争议，应协商解决。协商不成的，任何一方均可向甲方所在地人民法院提起诉讼。</w:t>
      </w:r>
    </w:p>
    <w:p w14:paraId="1672557D">
      <w:pPr>
        <w:pStyle w:val="23"/>
        <w:numPr>
          <w:ilvl w:val="0"/>
          <w:numId w:val="1"/>
        </w:numPr>
        <w:spacing w:before="240" w:after="60"/>
        <w:ind w:left="0" w:firstLine="426" w:firstLineChars="202"/>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授权</w:t>
      </w:r>
      <w:r>
        <w:rPr>
          <w:rStyle w:val="19"/>
          <w:rFonts w:hint="eastAsia" w:cs="Times New Roman"/>
          <w:sz w:val="21"/>
          <w:szCs w:val="21"/>
        </w:rPr>
        <w:t>约定</w:t>
      </w:r>
    </w:p>
    <w:p w14:paraId="5DBA3145">
      <w:pPr>
        <w:numPr>
          <w:ilvl w:val="0"/>
          <w:numId w:val="11"/>
        </w:numPr>
        <w:tabs>
          <w:tab w:val="left" w:pos="851"/>
          <w:tab w:val="clear" w:pos="0"/>
        </w:tabs>
        <w:spacing w:line="360" w:lineRule="auto"/>
        <w:ind w:firstLine="424" w:firstLineChars="202"/>
        <w:textAlignment w:val="center"/>
        <w:rPr>
          <w:snapToGrid w:val="0"/>
          <w:color w:val="000000"/>
          <w:szCs w:val="21"/>
        </w:rPr>
      </w:pPr>
      <w:r>
        <w:rPr>
          <w:snapToGrid w:val="0"/>
          <w:color w:val="000000"/>
          <w:szCs w:val="21"/>
        </w:rPr>
        <w:t>甲方依据乙方所提供的账户和权限列表提供银企直联服务。乙方办理银企直联业务时设置的银企直联接口权限仅代表乙方可使用相关接口服务，不代表</w:t>
      </w:r>
      <w:r>
        <w:rPr>
          <w:rFonts w:hint="eastAsia"/>
          <w:snapToGrid w:val="0"/>
          <w:color w:val="000000"/>
          <w:szCs w:val="21"/>
        </w:rPr>
        <w:t>甲方</w:t>
      </w:r>
      <w:r>
        <w:rPr>
          <w:snapToGrid w:val="0"/>
          <w:color w:val="000000"/>
          <w:szCs w:val="21"/>
        </w:rPr>
        <w:t>一定能成功受理乙方通过接口发送的相关电子业务指令，乙方需另行签署相关产品的服务协议并按照相关产品的服务条款进行</w:t>
      </w:r>
      <w:r>
        <w:rPr>
          <w:rFonts w:hint="eastAsia"/>
          <w:snapToGrid w:val="0"/>
          <w:color w:val="000000"/>
          <w:szCs w:val="21"/>
        </w:rPr>
        <w:t>办理（直联结算除外）</w:t>
      </w:r>
      <w:r>
        <w:rPr>
          <w:snapToGrid w:val="0"/>
          <w:color w:val="000000"/>
          <w:szCs w:val="21"/>
        </w:rPr>
        <w:t>，如因乙方未正确签署相关产品服务协议或未按照服务条款操作导致上述电子业务指令受理失败，其相应法律后果由乙方</w:t>
      </w:r>
      <w:r>
        <w:rPr>
          <w:rFonts w:hint="eastAsia"/>
          <w:snapToGrid w:val="0"/>
          <w:color w:val="000000"/>
          <w:szCs w:val="21"/>
        </w:rPr>
        <w:t>自行</w:t>
      </w:r>
      <w:r>
        <w:rPr>
          <w:snapToGrid w:val="0"/>
          <w:color w:val="000000"/>
          <w:szCs w:val="21"/>
        </w:rPr>
        <w:t>承担。</w:t>
      </w:r>
    </w:p>
    <w:p w14:paraId="576054CE">
      <w:pPr>
        <w:numPr>
          <w:ilvl w:val="0"/>
          <w:numId w:val="11"/>
        </w:numPr>
        <w:tabs>
          <w:tab w:val="left" w:pos="851"/>
          <w:tab w:val="clear" w:pos="0"/>
        </w:tabs>
        <w:spacing w:line="360" w:lineRule="auto"/>
        <w:ind w:firstLine="424" w:firstLineChars="202"/>
        <w:textAlignment w:val="center"/>
        <w:rPr>
          <w:snapToGrid w:val="0"/>
          <w:color w:val="000000"/>
          <w:szCs w:val="21"/>
        </w:rPr>
      </w:pPr>
      <w:r>
        <w:rPr>
          <w:snapToGrid w:val="0"/>
          <w:color w:val="000000"/>
          <w:szCs w:val="21"/>
        </w:rPr>
        <w:t>乙方及乙方关联公司可以通过由适当授权人签署的书面文件要求并授权银行提供和撤销有关的银企直联服务。</w:t>
      </w:r>
    </w:p>
    <w:p w14:paraId="3DE2CAF3">
      <w:pPr>
        <w:numPr>
          <w:ilvl w:val="0"/>
          <w:numId w:val="11"/>
        </w:numPr>
        <w:tabs>
          <w:tab w:val="left" w:pos="851"/>
          <w:tab w:val="clear" w:pos="0"/>
        </w:tabs>
        <w:spacing w:line="360" w:lineRule="auto"/>
        <w:ind w:firstLine="424" w:firstLineChars="202"/>
        <w:textAlignment w:val="center"/>
        <w:rPr>
          <w:snapToGrid w:val="0"/>
          <w:color w:val="000000"/>
          <w:szCs w:val="21"/>
        </w:rPr>
      </w:pPr>
      <w:r>
        <w:rPr>
          <w:snapToGrid w:val="0"/>
          <w:color w:val="000000"/>
          <w:szCs w:val="21"/>
        </w:rPr>
        <w:t>如果乙方代表某一乙方关联公司使用银企直联服务，或以任何方式代表该乙方关联公司行事，乙方应保证拥有该乙方关联公司的适当授权，并应对这些授权的真实、有效性负责，甲方不提供未经授权的服务。乙方应确保发送的</w:t>
      </w:r>
      <w:r>
        <w:rPr>
          <w:rFonts w:hint="eastAsia"/>
          <w:snapToGrid w:val="0"/>
          <w:color w:val="000000"/>
          <w:szCs w:val="21"/>
        </w:rPr>
        <w:t>乙方</w:t>
      </w:r>
      <w:r>
        <w:rPr>
          <w:snapToGrid w:val="0"/>
          <w:color w:val="000000"/>
          <w:szCs w:val="21"/>
        </w:rPr>
        <w:t>关联公司电子业务指令均经过</w:t>
      </w:r>
      <w:r>
        <w:rPr>
          <w:rFonts w:hint="eastAsia"/>
          <w:snapToGrid w:val="0"/>
          <w:color w:val="000000"/>
          <w:szCs w:val="21"/>
        </w:rPr>
        <w:t>乙方</w:t>
      </w:r>
      <w:r>
        <w:rPr>
          <w:snapToGrid w:val="0"/>
          <w:color w:val="000000"/>
          <w:szCs w:val="21"/>
        </w:rPr>
        <w:t>关联公司授权同意，如因乙方未经</w:t>
      </w:r>
      <w:r>
        <w:rPr>
          <w:rFonts w:hint="eastAsia"/>
          <w:snapToGrid w:val="0"/>
          <w:color w:val="000000"/>
          <w:szCs w:val="21"/>
        </w:rPr>
        <w:t>乙方关联公司授权</w:t>
      </w:r>
      <w:r>
        <w:rPr>
          <w:snapToGrid w:val="0"/>
          <w:color w:val="000000"/>
          <w:szCs w:val="21"/>
        </w:rPr>
        <w:t>同意向甲方发送指令而产生损失和纠纷，相关责任由乙方</w:t>
      </w:r>
      <w:r>
        <w:rPr>
          <w:rFonts w:hint="eastAsia"/>
          <w:snapToGrid w:val="0"/>
          <w:color w:val="000000"/>
          <w:szCs w:val="21"/>
        </w:rPr>
        <w:t>自行</w:t>
      </w:r>
      <w:r>
        <w:rPr>
          <w:snapToGrid w:val="0"/>
          <w:color w:val="000000"/>
          <w:szCs w:val="21"/>
        </w:rPr>
        <w:t>承担。</w:t>
      </w:r>
    </w:p>
    <w:p w14:paraId="06DD1152">
      <w:pPr>
        <w:numPr>
          <w:ilvl w:val="0"/>
          <w:numId w:val="11"/>
        </w:numPr>
        <w:tabs>
          <w:tab w:val="left" w:pos="851"/>
          <w:tab w:val="clear" w:pos="0"/>
        </w:tabs>
        <w:spacing w:line="360" w:lineRule="auto"/>
        <w:ind w:firstLine="424" w:firstLineChars="202"/>
        <w:textAlignment w:val="center"/>
        <w:rPr>
          <w:snapToGrid w:val="0"/>
          <w:color w:val="000000"/>
          <w:szCs w:val="21"/>
        </w:rPr>
      </w:pPr>
      <w:r>
        <w:rPr>
          <w:rFonts w:hint="eastAsia"/>
          <w:snapToGrid w:val="0"/>
          <w:color w:val="000000"/>
          <w:szCs w:val="21"/>
        </w:rPr>
        <w:t>乙方授权并同意甲方收集法定代表人/负责人或授权经办人姓名、电话号码、身份证件用于办理电子银行开户、销户、修改资料等业务。乙方承诺所提交的申请内容、证明文件、加盖的预留印鉴和公章真实、准确、完整、合法、有效，并获得信息主体合法授权，对于因乙方提供的前述材料不真实、不准确、不完整、不合法或已失效所造成的责任由乙方承担。</w:t>
      </w:r>
    </w:p>
    <w:p w14:paraId="0EAAB49D">
      <w:pPr>
        <w:numPr>
          <w:ilvl w:val="0"/>
          <w:numId w:val="11"/>
        </w:numPr>
        <w:tabs>
          <w:tab w:val="left" w:pos="851"/>
          <w:tab w:val="clear" w:pos="0"/>
        </w:tabs>
        <w:spacing w:line="360" w:lineRule="auto"/>
        <w:ind w:firstLine="424" w:firstLineChars="202"/>
        <w:textAlignment w:val="center"/>
        <w:rPr>
          <w:snapToGrid w:val="0"/>
          <w:color w:val="000000"/>
          <w:szCs w:val="21"/>
        </w:rPr>
      </w:pPr>
      <w:r>
        <w:rPr>
          <w:rFonts w:hint="eastAsia"/>
          <w:snapToGrid w:val="0"/>
          <w:color w:val="000000"/>
          <w:szCs w:val="21"/>
        </w:rPr>
        <w:t>甲方经乙方授权获取的数据信息存储期限至甲方服务终止后五年，或根据法律法规及监管要求并结合甲方为乙方提供服务所必需的存储时间，以时间较晚者为准。超出必要存储期限后，甲方将对乙方信息进行删除或匿名化处理，但法律、法规及监管政策另有规定的除外。</w:t>
      </w:r>
    </w:p>
    <w:p w14:paraId="3F698A57">
      <w:pPr>
        <w:numPr>
          <w:ilvl w:val="0"/>
          <w:numId w:val="11"/>
        </w:numPr>
        <w:tabs>
          <w:tab w:val="left" w:pos="851"/>
          <w:tab w:val="clear" w:pos="0"/>
        </w:tabs>
        <w:spacing w:line="360" w:lineRule="auto"/>
        <w:ind w:firstLine="424" w:firstLineChars="202"/>
        <w:textAlignment w:val="center"/>
        <w:rPr>
          <w:snapToGrid w:val="0"/>
          <w:color w:val="000000"/>
          <w:szCs w:val="21"/>
        </w:rPr>
      </w:pPr>
      <w:r>
        <w:rPr>
          <w:rFonts w:hint="eastAsia"/>
          <w:snapToGrid w:val="0"/>
          <w:color w:val="000000"/>
          <w:szCs w:val="21"/>
        </w:rPr>
        <w:t>乙方可以申请删除相关数据信息或撤回相关数据信息授权操作，但删除相关数据信息或撤回相关数据信息授权操作不影响删除或撤回前基于乙方同意已进行的数据信息处理活动的效力，但会因删除或撤回后甲方无法继续处理相应的数据信息而导致乙方无法继续使用本协议项下的相关服务。</w:t>
      </w:r>
    </w:p>
    <w:p w14:paraId="4FDA8589">
      <w:pPr>
        <w:numPr>
          <w:ilvl w:val="255"/>
          <w:numId w:val="0"/>
        </w:numPr>
        <w:spacing w:line="360" w:lineRule="auto"/>
        <w:ind w:firstLine="424" w:firstLineChars="202"/>
        <w:textAlignment w:val="center"/>
        <w:rPr>
          <w:snapToGrid w:val="0"/>
          <w:color w:val="000000"/>
          <w:szCs w:val="21"/>
        </w:rPr>
      </w:pPr>
      <w:r>
        <w:rPr>
          <w:rFonts w:hint="eastAsia"/>
          <w:snapToGrid w:val="0"/>
          <w:color w:val="000000"/>
          <w:szCs w:val="21"/>
        </w:rPr>
        <w:t xml:space="preserve">在以下情形中，乙方可以向甲方提出删除个人信息的请求： </w:t>
      </w:r>
    </w:p>
    <w:p w14:paraId="2B7F3FA6">
      <w:pPr>
        <w:pStyle w:val="23"/>
        <w:numPr>
          <w:ilvl w:val="0"/>
          <w:numId w:val="12"/>
        </w:numPr>
        <w:tabs>
          <w:tab w:val="left" w:pos="709"/>
        </w:tabs>
        <w:spacing w:line="360" w:lineRule="auto"/>
        <w:ind w:left="0" w:firstLine="424" w:firstLineChars="202"/>
        <w:textAlignment w:val="center"/>
        <w:rPr>
          <w:snapToGrid w:val="0"/>
          <w:color w:val="000000"/>
          <w:szCs w:val="21"/>
        </w:rPr>
      </w:pPr>
      <w:r>
        <w:rPr>
          <w:rFonts w:hint="eastAsia"/>
          <w:snapToGrid w:val="0"/>
          <w:color w:val="000000"/>
          <w:szCs w:val="21"/>
        </w:rPr>
        <w:t xml:space="preserve">如果甲方处理个人信息的行为违反法律法规； </w:t>
      </w:r>
    </w:p>
    <w:p w14:paraId="486456B5">
      <w:pPr>
        <w:pStyle w:val="23"/>
        <w:numPr>
          <w:ilvl w:val="0"/>
          <w:numId w:val="12"/>
        </w:numPr>
        <w:tabs>
          <w:tab w:val="left" w:pos="709"/>
        </w:tabs>
        <w:spacing w:line="360" w:lineRule="auto"/>
        <w:ind w:left="0" w:firstLine="424" w:firstLineChars="202"/>
        <w:textAlignment w:val="center"/>
        <w:rPr>
          <w:snapToGrid w:val="0"/>
          <w:color w:val="000000"/>
          <w:szCs w:val="21"/>
        </w:rPr>
      </w:pPr>
      <w:r>
        <w:rPr>
          <w:rFonts w:hint="eastAsia"/>
          <w:snapToGrid w:val="0"/>
          <w:color w:val="000000"/>
          <w:szCs w:val="21"/>
        </w:rPr>
        <w:t xml:space="preserve">如果甲方收集、使用乙方的个人信息，却未征得乙方的同意； </w:t>
      </w:r>
    </w:p>
    <w:p w14:paraId="52FAACC2">
      <w:pPr>
        <w:pStyle w:val="23"/>
        <w:numPr>
          <w:ilvl w:val="0"/>
          <w:numId w:val="12"/>
        </w:numPr>
        <w:tabs>
          <w:tab w:val="left" w:pos="709"/>
        </w:tabs>
        <w:spacing w:line="360" w:lineRule="auto"/>
        <w:ind w:left="0" w:firstLine="424" w:firstLineChars="202"/>
        <w:textAlignment w:val="center"/>
        <w:rPr>
          <w:snapToGrid w:val="0"/>
          <w:color w:val="000000"/>
          <w:szCs w:val="21"/>
        </w:rPr>
      </w:pPr>
      <w:r>
        <w:rPr>
          <w:rFonts w:hint="eastAsia"/>
          <w:snapToGrid w:val="0"/>
          <w:color w:val="000000"/>
          <w:szCs w:val="21"/>
        </w:rPr>
        <w:t xml:space="preserve">如果甲方处理个人信息的行为违反了与乙方的约定； </w:t>
      </w:r>
    </w:p>
    <w:p w14:paraId="0B5B9515">
      <w:pPr>
        <w:pStyle w:val="23"/>
        <w:numPr>
          <w:ilvl w:val="0"/>
          <w:numId w:val="12"/>
        </w:numPr>
        <w:tabs>
          <w:tab w:val="left" w:pos="709"/>
        </w:tabs>
        <w:spacing w:line="360" w:lineRule="auto"/>
        <w:ind w:left="0" w:firstLine="424" w:firstLineChars="202"/>
        <w:textAlignment w:val="center"/>
        <w:rPr>
          <w:snapToGrid w:val="0"/>
          <w:color w:val="000000"/>
          <w:szCs w:val="21"/>
        </w:rPr>
      </w:pPr>
      <w:r>
        <w:rPr>
          <w:rFonts w:hint="eastAsia"/>
          <w:snapToGrid w:val="0"/>
          <w:color w:val="000000"/>
          <w:szCs w:val="21"/>
        </w:rPr>
        <w:t xml:space="preserve">如果乙方不再使用甲方的产品或服务，或乙方注销了账号； </w:t>
      </w:r>
    </w:p>
    <w:p w14:paraId="497802DC">
      <w:pPr>
        <w:pStyle w:val="23"/>
        <w:numPr>
          <w:ilvl w:val="0"/>
          <w:numId w:val="12"/>
        </w:numPr>
        <w:tabs>
          <w:tab w:val="left" w:pos="709"/>
        </w:tabs>
        <w:spacing w:line="360" w:lineRule="auto"/>
        <w:ind w:left="0" w:firstLine="424" w:firstLineChars="202"/>
        <w:textAlignment w:val="center"/>
        <w:rPr>
          <w:snapToGrid w:val="0"/>
          <w:color w:val="000000"/>
          <w:szCs w:val="21"/>
        </w:rPr>
      </w:pPr>
      <w:r>
        <w:rPr>
          <w:rFonts w:hint="eastAsia"/>
          <w:snapToGrid w:val="0"/>
          <w:color w:val="000000"/>
          <w:szCs w:val="21"/>
        </w:rPr>
        <w:t xml:space="preserve">如果甲方不再为乙方提供产品或服务。 </w:t>
      </w:r>
    </w:p>
    <w:p w14:paraId="107FEE69">
      <w:pPr>
        <w:numPr>
          <w:ilvl w:val="255"/>
          <w:numId w:val="0"/>
        </w:numPr>
        <w:spacing w:line="360" w:lineRule="auto"/>
        <w:ind w:firstLine="424" w:firstLineChars="202"/>
        <w:textAlignment w:val="center"/>
        <w:rPr>
          <w:snapToGrid w:val="0"/>
          <w:color w:val="000000"/>
          <w:szCs w:val="21"/>
        </w:rPr>
      </w:pPr>
      <w:r>
        <w:rPr>
          <w:rFonts w:hint="eastAsia"/>
          <w:snapToGrid w:val="0"/>
          <w:color w:val="000000"/>
          <w:szCs w:val="21"/>
        </w:rPr>
        <w:t>若甲方决定响应乙方的删除请求，甲方还将同时通知从甲方获得乙方的个人信息的实体，要求其及时删除，除非法律法规另有规定，或这些实体获得乙方的独立授权。</w:t>
      </w:r>
    </w:p>
    <w:p w14:paraId="66BCBD17">
      <w:pPr>
        <w:numPr>
          <w:ilvl w:val="255"/>
          <w:numId w:val="0"/>
        </w:numPr>
        <w:spacing w:line="360" w:lineRule="auto"/>
        <w:ind w:firstLine="424" w:firstLineChars="202"/>
        <w:textAlignment w:val="center"/>
        <w:rPr>
          <w:snapToGrid w:val="0"/>
          <w:color w:val="000000"/>
          <w:szCs w:val="21"/>
        </w:rPr>
      </w:pPr>
      <w:r>
        <w:rPr>
          <w:rFonts w:hint="eastAsia"/>
          <w:snapToGrid w:val="0"/>
          <w:color w:val="000000"/>
          <w:szCs w:val="21"/>
        </w:rPr>
        <w:t xml:space="preserve">为保障安全，甲方响应乙方的根据《中华人民共和国个人信息保护法》等法律规定的个人信息查询、更正、删除、撤回授权同意、获取个人信息副本等请求，可能需要乙方提供书面请求，或以其他方式证明乙方的身份。甲方可能会先要求乙方验证自己的身份，然后再处理乙方的请求。乙方可拨打客服电话(95511-3)或在线客服与甲方联系，甲方受理乙方的问题后，将在15日内核实并为乙方提供解决方案。对于乙方合理的请求，甲方原则上不收取费用，但对多次重复、超出合理限度的请求，甲方将视情收取一定成本费用。对于那些无端重复、需要过多技术手段、给他人合法权益带来风险或者非常不切实际的请求，甲方可能会予以拒绝。 </w:t>
      </w:r>
    </w:p>
    <w:p w14:paraId="66EE415D">
      <w:pPr>
        <w:numPr>
          <w:ilvl w:val="255"/>
          <w:numId w:val="0"/>
        </w:numPr>
        <w:spacing w:line="360" w:lineRule="auto"/>
        <w:ind w:firstLine="424" w:firstLineChars="202"/>
        <w:textAlignment w:val="center"/>
        <w:rPr>
          <w:snapToGrid w:val="0"/>
          <w:color w:val="000000"/>
          <w:szCs w:val="21"/>
        </w:rPr>
      </w:pPr>
      <w:r>
        <w:rPr>
          <w:rFonts w:hint="eastAsia"/>
          <w:snapToGrid w:val="0"/>
          <w:color w:val="000000"/>
          <w:szCs w:val="21"/>
        </w:rPr>
        <w:t xml:space="preserve">在以下情形中，甲方将无法响应乙方的请求： </w:t>
      </w:r>
    </w:p>
    <w:p w14:paraId="39BFCABC">
      <w:pPr>
        <w:pStyle w:val="23"/>
        <w:numPr>
          <w:ilvl w:val="0"/>
          <w:numId w:val="13"/>
        </w:numPr>
        <w:tabs>
          <w:tab w:val="left" w:pos="709"/>
        </w:tabs>
        <w:spacing w:line="360" w:lineRule="auto"/>
        <w:ind w:left="0" w:firstLine="424" w:firstLineChars="202"/>
        <w:textAlignment w:val="center"/>
        <w:rPr>
          <w:snapToGrid w:val="0"/>
          <w:color w:val="000000"/>
          <w:szCs w:val="21"/>
        </w:rPr>
      </w:pPr>
      <w:r>
        <w:rPr>
          <w:rFonts w:hint="eastAsia"/>
          <w:snapToGrid w:val="0"/>
          <w:color w:val="000000"/>
          <w:szCs w:val="21"/>
        </w:rPr>
        <w:t xml:space="preserve">与个人信息控制者履行法律法规规定的义务相关的； </w:t>
      </w:r>
    </w:p>
    <w:p w14:paraId="46A64ECD">
      <w:pPr>
        <w:pStyle w:val="23"/>
        <w:numPr>
          <w:ilvl w:val="0"/>
          <w:numId w:val="13"/>
        </w:numPr>
        <w:tabs>
          <w:tab w:val="left" w:pos="709"/>
        </w:tabs>
        <w:spacing w:line="360" w:lineRule="auto"/>
        <w:ind w:left="0" w:firstLine="424" w:firstLineChars="202"/>
        <w:textAlignment w:val="center"/>
        <w:rPr>
          <w:snapToGrid w:val="0"/>
          <w:color w:val="000000"/>
          <w:szCs w:val="21"/>
        </w:rPr>
      </w:pPr>
      <w:r>
        <w:rPr>
          <w:rFonts w:hint="eastAsia"/>
          <w:snapToGrid w:val="0"/>
          <w:color w:val="000000"/>
          <w:szCs w:val="21"/>
        </w:rPr>
        <w:t xml:space="preserve">与国家安全、国防安全直接相关的； </w:t>
      </w:r>
    </w:p>
    <w:p w14:paraId="5E573F16">
      <w:pPr>
        <w:pStyle w:val="23"/>
        <w:numPr>
          <w:ilvl w:val="0"/>
          <w:numId w:val="13"/>
        </w:numPr>
        <w:tabs>
          <w:tab w:val="left" w:pos="709"/>
        </w:tabs>
        <w:spacing w:line="360" w:lineRule="auto"/>
        <w:ind w:left="0" w:firstLine="424" w:firstLineChars="202"/>
        <w:textAlignment w:val="center"/>
        <w:rPr>
          <w:snapToGrid w:val="0"/>
          <w:color w:val="000000"/>
          <w:szCs w:val="21"/>
        </w:rPr>
      </w:pPr>
      <w:r>
        <w:rPr>
          <w:rFonts w:hint="eastAsia"/>
          <w:snapToGrid w:val="0"/>
          <w:color w:val="000000"/>
          <w:szCs w:val="21"/>
        </w:rPr>
        <w:t xml:space="preserve">与公共安全、公共卫生、重大公共利益直接相关的； </w:t>
      </w:r>
    </w:p>
    <w:p w14:paraId="41589403">
      <w:pPr>
        <w:pStyle w:val="23"/>
        <w:numPr>
          <w:ilvl w:val="0"/>
          <w:numId w:val="13"/>
        </w:numPr>
        <w:tabs>
          <w:tab w:val="left" w:pos="709"/>
        </w:tabs>
        <w:spacing w:line="360" w:lineRule="auto"/>
        <w:ind w:left="0" w:firstLine="424" w:firstLineChars="202"/>
        <w:textAlignment w:val="center"/>
        <w:rPr>
          <w:snapToGrid w:val="0"/>
          <w:color w:val="000000"/>
          <w:szCs w:val="21"/>
        </w:rPr>
      </w:pPr>
      <w:r>
        <w:rPr>
          <w:rFonts w:hint="eastAsia"/>
          <w:snapToGrid w:val="0"/>
          <w:color w:val="000000"/>
          <w:szCs w:val="21"/>
        </w:rPr>
        <w:t xml:space="preserve">与犯罪侦查、起诉、审判和执行判决等直接相关的； </w:t>
      </w:r>
    </w:p>
    <w:p w14:paraId="6E21FE9A">
      <w:pPr>
        <w:pStyle w:val="23"/>
        <w:numPr>
          <w:ilvl w:val="0"/>
          <w:numId w:val="13"/>
        </w:numPr>
        <w:tabs>
          <w:tab w:val="left" w:pos="709"/>
        </w:tabs>
        <w:spacing w:line="360" w:lineRule="auto"/>
        <w:ind w:left="0" w:firstLine="424" w:firstLineChars="202"/>
        <w:textAlignment w:val="center"/>
        <w:rPr>
          <w:snapToGrid w:val="0"/>
          <w:color w:val="000000"/>
          <w:szCs w:val="21"/>
        </w:rPr>
      </w:pPr>
      <w:r>
        <w:rPr>
          <w:rFonts w:hint="eastAsia"/>
          <w:snapToGrid w:val="0"/>
          <w:color w:val="000000"/>
          <w:szCs w:val="21"/>
        </w:rPr>
        <w:t xml:space="preserve">个人信息控制者有充分证据表明个人信息主体存在主观恶意或滥用权利的； </w:t>
      </w:r>
    </w:p>
    <w:p w14:paraId="634888AA">
      <w:pPr>
        <w:pStyle w:val="23"/>
        <w:numPr>
          <w:ilvl w:val="0"/>
          <w:numId w:val="13"/>
        </w:numPr>
        <w:tabs>
          <w:tab w:val="left" w:pos="709"/>
        </w:tabs>
        <w:spacing w:line="360" w:lineRule="auto"/>
        <w:ind w:left="0" w:firstLine="424" w:firstLineChars="202"/>
        <w:textAlignment w:val="center"/>
        <w:rPr>
          <w:snapToGrid w:val="0"/>
          <w:color w:val="000000"/>
          <w:szCs w:val="21"/>
        </w:rPr>
      </w:pPr>
      <w:r>
        <w:rPr>
          <w:rFonts w:hint="eastAsia"/>
          <w:snapToGrid w:val="0"/>
          <w:color w:val="000000"/>
          <w:szCs w:val="21"/>
        </w:rPr>
        <w:t xml:space="preserve">出于维护个人信息主体或其他个人的生命、财产等重大合法权益但又很难得到本人同意的； </w:t>
      </w:r>
    </w:p>
    <w:p w14:paraId="04CE4B26">
      <w:pPr>
        <w:pStyle w:val="23"/>
        <w:numPr>
          <w:ilvl w:val="0"/>
          <w:numId w:val="13"/>
        </w:numPr>
        <w:tabs>
          <w:tab w:val="left" w:pos="709"/>
        </w:tabs>
        <w:spacing w:line="360" w:lineRule="auto"/>
        <w:ind w:left="0" w:firstLine="424" w:firstLineChars="202"/>
        <w:textAlignment w:val="center"/>
        <w:rPr>
          <w:snapToGrid w:val="0"/>
          <w:color w:val="000000"/>
          <w:szCs w:val="21"/>
        </w:rPr>
      </w:pPr>
      <w:r>
        <w:rPr>
          <w:rFonts w:hint="eastAsia"/>
          <w:snapToGrid w:val="0"/>
          <w:color w:val="000000"/>
          <w:szCs w:val="21"/>
        </w:rPr>
        <w:t xml:space="preserve">响应个人信息主体的请求将导致个人信息主体或其他个人、组织的合法权益受到严重损害的； </w:t>
      </w:r>
    </w:p>
    <w:p w14:paraId="174F4BF7">
      <w:pPr>
        <w:pStyle w:val="23"/>
        <w:numPr>
          <w:ilvl w:val="0"/>
          <w:numId w:val="13"/>
        </w:numPr>
        <w:tabs>
          <w:tab w:val="left" w:pos="709"/>
        </w:tabs>
        <w:spacing w:line="360" w:lineRule="auto"/>
        <w:ind w:left="0" w:firstLine="424" w:firstLineChars="202"/>
        <w:textAlignment w:val="center"/>
        <w:rPr>
          <w:snapToGrid w:val="0"/>
          <w:color w:val="000000"/>
          <w:szCs w:val="21"/>
        </w:rPr>
      </w:pPr>
      <w:r>
        <w:rPr>
          <w:rFonts w:hint="eastAsia"/>
          <w:snapToGrid w:val="0"/>
          <w:color w:val="000000"/>
          <w:szCs w:val="21"/>
        </w:rPr>
        <w:t>涉及商业秘密的。</w:t>
      </w:r>
    </w:p>
    <w:p w14:paraId="3609892B">
      <w:pPr>
        <w:pStyle w:val="23"/>
        <w:numPr>
          <w:ilvl w:val="0"/>
          <w:numId w:val="1"/>
        </w:numPr>
        <w:spacing w:before="240" w:after="60"/>
        <w:ind w:left="0" w:firstLine="426" w:firstLineChars="202"/>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协议的终止</w:t>
      </w:r>
    </w:p>
    <w:p w14:paraId="6CA10973">
      <w:pPr>
        <w:numPr>
          <w:ilvl w:val="0"/>
          <w:numId w:val="14"/>
        </w:numPr>
        <w:spacing w:line="360" w:lineRule="auto"/>
        <w:ind w:firstLine="424" w:firstLineChars="202"/>
        <w:textAlignment w:val="center"/>
        <w:rPr>
          <w:snapToGrid w:val="0"/>
          <w:color w:val="000000"/>
          <w:szCs w:val="21"/>
        </w:rPr>
      </w:pPr>
      <w:r>
        <w:rPr>
          <w:snapToGrid w:val="0"/>
          <w:color w:val="000000"/>
          <w:szCs w:val="21"/>
        </w:rPr>
        <w:t>乙方利用甲方银企直联从事违反国家法律法规活动的，甲方将按照有权部门的要求停止为其办理银企直联业务。</w:t>
      </w:r>
    </w:p>
    <w:p w14:paraId="11CE4A0C">
      <w:pPr>
        <w:numPr>
          <w:ilvl w:val="0"/>
          <w:numId w:val="14"/>
        </w:numPr>
        <w:spacing w:line="360" w:lineRule="auto"/>
        <w:ind w:firstLine="424" w:firstLineChars="202"/>
        <w:textAlignment w:val="center"/>
        <w:rPr>
          <w:snapToGrid w:val="0"/>
          <w:color w:val="000000"/>
          <w:szCs w:val="21"/>
        </w:rPr>
      </w:pPr>
      <w:r>
        <w:rPr>
          <w:snapToGrid w:val="0"/>
          <w:color w:val="000000"/>
          <w:szCs w:val="21"/>
        </w:rPr>
        <w:t>如果乙方</w:t>
      </w:r>
      <w:r>
        <w:rPr>
          <w:rFonts w:hint="eastAsia"/>
          <w:snapToGrid w:val="0"/>
          <w:color w:val="000000"/>
          <w:szCs w:val="21"/>
        </w:rPr>
        <w:t>出现以下异常情况，包括但不限于工商信息被注销</w:t>
      </w:r>
      <w:r>
        <w:rPr>
          <w:snapToGrid w:val="0"/>
          <w:color w:val="000000"/>
          <w:szCs w:val="21"/>
        </w:rPr>
        <w:t>、未能按甲方要求提供有效存续证明文件或无可用的加挂账号等，甲方有权暂停或终止提供银企直联服务，因此</w:t>
      </w:r>
      <w:r>
        <w:rPr>
          <w:rFonts w:hint="eastAsia"/>
          <w:snapToGrid w:val="0"/>
          <w:color w:val="000000"/>
          <w:szCs w:val="21"/>
        </w:rPr>
        <w:t>产生的</w:t>
      </w:r>
      <w:r>
        <w:rPr>
          <w:snapToGrid w:val="0"/>
          <w:color w:val="000000"/>
          <w:szCs w:val="21"/>
        </w:rPr>
        <w:t>损失应由乙方全部承担。</w:t>
      </w:r>
    </w:p>
    <w:p w14:paraId="31019533">
      <w:pPr>
        <w:numPr>
          <w:ilvl w:val="0"/>
          <w:numId w:val="14"/>
        </w:numPr>
        <w:spacing w:line="360" w:lineRule="auto"/>
        <w:ind w:firstLine="424" w:firstLineChars="202"/>
        <w:textAlignment w:val="center"/>
        <w:rPr>
          <w:snapToGrid w:val="0"/>
          <w:color w:val="000000"/>
          <w:szCs w:val="21"/>
        </w:rPr>
      </w:pPr>
      <w:r>
        <w:rPr>
          <w:snapToGrid w:val="0"/>
          <w:color w:val="000000"/>
          <w:szCs w:val="21"/>
        </w:rPr>
        <w:t>乙方</w:t>
      </w:r>
      <w:r>
        <w:rPr>
          <w:rFonts w:hint="eastAsia"/>
          <w:snapToGrid w:val="0"/>
          <w:color w:val="000000"/>
          <w:szCs w:val="21"/>
        </w:rPr>
        <w:t>在甲方</w:t>
      </w:r>
      <w:r>
        <w:rPr>
          <w:snapToGrid w:val="0"/>
          <w:color w:val="000000"/>
          <w:szCs w:val="21"/>
        </w:rPr>
        <w:t>银企直联</w:t>
      </w:r>
      <w:r>
        <w:rPr>
          <w:rFonts w:hint="eastAsia"/>
          <w:snapToGrid w:val="0"/>
          <w:color w:val="000000"/>
          <w:szCs w:val="21"/>
        </w:rPr>
        <w:t>服务中已</w:t>
      </w:r>
      <w:r>
        <w:rPr>
          <w:snapToGrid w:val="0"/>
          <w:color w:val="000000"/>
          <w:szCs w:val="21"/>
        </w:rPr>
        <w:t>加挂</w:t>
      </w:r>
      <w:r>
        <w:rPr>
          <w:rFonts w:hint="eastAsia"/>
          <w:snapToGrid w:val="0"/>
          <w:color w:val="000000"/>
          <w:szCs w:val="21"/>
        </w:rPr>
        <w:t>或已</w:t>
      </w:r>
      <w:r>
        <w:rPr>
          <w:snapToGrid w:val="0"/>
          <w:color w:val="000000"/>
          <w:szCs w:val="21"/>
        </w:rPr>
        <w:t>托管账户</w:t>
      </w:r>
      <w:r>
        <w:rPr>
          <w:rFonts w:hint="eastAsia"/>
          <w:snapToGrid w:val="0"/>
          <w:color w:val="000000"/>
          <w:szCs w:val="21"/>
        </w:rPr>
        <w:t>如被</w:t>
      </w:r>
      <w:r>
        <w:rPr>
          <w:snapToGrid w:val="0"/>
          <w:color w:val="000000"/>
          <w:szCs w:val="21"/>
        </w:rPr>
        <w:t>注销</w:t>
      </w:r>
      <w:r>
        <w:rPr>
          <w:rFonts w:hint="eastAsia"/>
          <w:snapToGrid w:val="0"/>
          <w:color w:val="000000"/>
          <w:szCs w:val="21"/>
        </w:rPr>
        <w:t>，系统将做</w:t>
      </w:r>
      <w:r>
        <w:rPr>
          <w:snapToGrid w:val="0"/>
          <w:color w:val="000000"/>
          <w:szCs w:val="21"/>
        </w:rPr>
        <w:t>减户处理。</w:t>
      </w:r>
    </w:p>
    <w:p w14:paraId="14C1EF21">
      <w:pPr>
        <w:numPr>
          <w:ilvl w:val="0"/>
          <w:numId w:val="14"/>
        </w:numPr>
        <w:spacing w:line="360" w:lineRule="auto"/>
        <w:ind w:firstLine="424" w:firstLineChars="202"/>
        <w:textAlignment w:val="center"/>
        <w:rPr>
          <w:snapToGrid w:val="0"/>
          <w:color w:val="000000"/>
          <w:szCs w:val="21"/>
        </w:rPr>
      </w:pPr>
      <w:r>
        <w:rPr>
          <w:rFonts w:hint="eastAsia"/>
          <w:snapToGrid w:val="0"/>
          <w:color w:val="000000"/>
          <w:szCs w:val="21"/>
        </w:rPr>
        <w:t>在本协议签订后，乙方如需终止使用银企直联服务，应</w:t>
      </w:r>
      <w:r>
        <w:rPr>
          <w:snapToGrid w:val="0"/>
          <w:color w:val="000000"/>
          <w:szCs w:val="21"/>
        </w:rPr>
        <w:t>提前7个工作日以书面形式或</w:t>
      </w:r>
      <w:r>
        <w:rPr>
          <w:rFonts w:hint="eastAsia"/>
          <w:snapToGrid w:val="0"/>
          <w:color w:val="000000"/>
          <w:szCs w:val="21"/>
        </w:rPr>
        <w:t>在甲方指定渠道（如企业网银等）发起申请</w:t>
      </w:r>
      <w:r>
        <w:rPr>
          <w:rFonts w:hint="eastAsia"/>
        </w:rPr>
        <w:t>。</w:t>
      </w:r>
      <w:r>
        <w:rPr>
          <w:snapToGrid w:val="0"/>
          <w:color w:val="000000"/>
          <w:szCs w:val="21"/>
        </w:rPr>
        <w:t>甲方在接到通知</w:t>
      </w:r>
      <w:r>
        <w:rPr>
          <w:rFonts w:hint="eastAsia"/>
          <w:snapToGrid w:val="0"/>
          <w:color w:val="000000"/>
          <w:szCs w:val="21"/>
        </w:rPr>
        <w:t>并正式受理</w:t>
      </w:r>
      <w:r>
        <w:rPr>
          <w:snapToGrid w:val="0"/>
          <w:color w:val="000000"/>
          <w:szCs w:val="21"/>
        </w:rPr>
        <w:t>后，将及时注销乙方</w:t>
      </w:r>
      <w:r>
        <w:rPr>
          <w:rFonts w:hint="eastAsia"/>
          <w:snapToGrid w:val="0"/>
          <w:color w:val="000000"/>
          <w:szCs w:val="21"/>
        </w:rPr>
        <w:t>安全工具</w:t>
      </w:r>
      <w:r>
        <w:rPr>
          <w:snapToGrid w:val="0"/>
          <w:color w:val="000000"/>
          <w:szCs w:val="21"/>
        </w:rPr>
        <w:t>，</w:t>
      </w:r>
      <w:r>
        <w:rPr>
          <w:rFonts w:hint="eastAsia"/>
          <w:snapToGrid w:val="0"/>
          <w:color w:val="000000"/>
          <w:szCs w:val="21"/>
        </w:rPr>
        <w:t>并终止向乙方提供银企直联服务，本协议自动失效。</w:t>
      </w:r>
      <w:r>
        <w:rPr>
          <w:snapToGrid w:val="0"/>
          <w:color w:val="000000"/>
          <w:szCs w:val="21"/>
        </w:rPr>
        <w:t>在未收到甲方</w:t>
      </w:r>
      <w:r>
        <w:rPr>
          <w:rFonts w:hint="eastAsia"/>
          <w:snapToGrid w:val="0"/>
          <w:color w:val="000000"/>
          <w:szCs w:val="21"/>
        </w:rPr>
        <w:t>停止</w:t>
      </w:r>
      <w:r>
        <w:rPr>
          <w:snapToGrid w:val="0"/>
          <w:color w:val="000000"/>
          <w:szCs w:val="21"/>
        </w:rPr>
        <w:t>银企直联服务的</w:t>
      </w:r>
      <w:r>
        <w:rPr>
          <w:rFonts w:hint="eastAsia"/>
          <w:snapToGrid w:val="0"/>
          <w:color w:val="000000"/>
          <w:szCs w:val="21"/>
        </w:rPr>
        <w:t>正式回复前，乙方应确保申请期间不再</w:t>
      </w:r>
      <w:r>
        <w:rPr>
          <w:snapToGrid w:val="0"/>
          <w:color w:val="000000"/>
          <w:szCs w:val="21"/>
        </w:rPr>
        <w:t>发出电子指令</w:t>
      </w:r>
      <w:r>
        <w:rPr>
          <w:rFonts w:hint="eastAsia"/>
          <w:snapToGrid w:val="0"/>
          <w:color w:val="000000"/>
          <w:szCs w:val="21"/>
        </w:rPr>
        <w:t>，如在此期间乙方发送电子指令，甲方将视其</w:t>
      </w:r>
      <w:r>
        <w:rPr>
          <w:snapToGrid w:val="0"/>
          <w:color w:val="000000"/>
          <w:szCs w:val="21"/>
        </w:rPr>
        <w:t>为有效指令</w:t>
      </w:r>
      <w:r>
        <w:rPr>
          <w:rFonts w:hint="eastAsia"/>
          <w:snapToGrid w:val="0"/>
          <w:color w:val="000000"/>
          <w:szCs w:val="21"/>
        </w:rPr>
        <w:t>并执行</w:t>
      </w:r>
      <w:r>
        <w:rPr>
          <w:snapToGrid w:val="0"/>
          <w:color w:val="000000"/>
          <w:szCs w:val="21"/>
        </w:rPr>
        <w:t>，因此</w:t>
      </w:r>
      <w:r>
        <w:rPr>
          <w:rFonts w:hint="eastAsia"/>
          <w:snapToGrid w:val="0"/>
          <w:color w:val="000000"/>
          <w:szCs w:val="21"/>
        </w:rPr>
        <w:t>产生的</w:t>
      </w:r>
      <w:r>
        <w:rPr>
          <w:snapToGrid w:val="0"/>
          <w:color w:val="000000"/>
          <w:szCs w:val="21"/>
        </w:rPr>
        <w:t>损失应由乙方全部承担。</w:t>
      </w:r>
    </w:p>
    <w:p w14:paraId="27FD2ACA">
      <w:pPr>
        <w:pStyle w:val="23"/>
        <w:numPr>
          <w:ilvl w:val="0"/>
          <w:numId w:val="1"/>
        </w:numPr>
        <w:spacing w:before="240" w:after="60"/>
        <w:ind w:left="0" w:firstLine="426" w:firstLineChars="202"/>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反</w:t>
      </w:r>
      <w:r>
        <w:rPr>
          <w:rStyle w:val="19"/>
          <w:rFonts w:hint="eastAsia" w:cs="Times New Roman"/>
          <w:sz w:val="21"/>
          <w:szCs w:val="21"/>
        </w:rPr>
        <w:t>洗钱与反欺诈</w:t>
      </w:r>
      <w:r>
        <w:rPr>
          <w:rStyle w:val="19"/>
          <w:rFonts w:ascii="Times New Roman" w:hAnsi="Times New Roman" w:cs="Times New Roman"/>
          <w:sz w:val="21"/>
          <w:szCs w:val="21"/>
        </w:rPr>
        <w:t>条款</w:t>
      </w:r>
    </w:p>
    <w:p w14:paraId="4ECDE9CA">
      <w:pPr>
        <w:numPr>
          <w:ilvl w:val="0"/>
          <w:numId w:val="15"/>
        </w:numPr>
        <w:tabs>
          <w:tab w:val="left" w:pos="851"/>
        </w:tabs>
        <w:spacing w:line="360" w:lineRule="auto"/>
        <w:ind w:firstLine="424" w:firstLineChars="202"/>
        <w:textAlignment w:val="center"/>
        <w:rPr>
          <w:snapToGrid w:val="0"/>
          <w:color w:val="000000"/>
          <w:szCs w:val="21"/>
        </w:rPr>
      </w:pPr>
      <w:r>
        <w:rPr>
          <w:rFonts w:hint="eastAsia"/>
        </w:rPr>
        <w:t>如</w:t>
      </w:r>
      <w:r>
        <w:rPr>
          <w:snapToGrid w:val="0"/>
          <w:color w:val="000000"/>
          <w:szCs w:val="21"/>
        </w:rPr>
        <w:t>乙方账户涉嫌洗钱、</w:t>
      </w:r>
      <w:r>
        <w:rPr>
          <w:rFonts w:hint="eastAsia"/>
          <w:snapToGrid w:val="0"/>
          <w:color w:val="000000"/>
          <w:szCs w:val="21"/>
        </w:rPr>
        <w:t>欺诈（含电诈）、恐怖融资</w:t>
      </w:r>
      <w:r>
        <w:rPr>
          <w:snapToGrid w:val="0"/>
          <w:color w:val="000000"/>
          <w:szCs w:val="21"/>
        </w:rPr>
        <w:t>或违反国家法律法规、监管政策及银行合规政策，甲方有权</w:t>
      </w:r>
      <w:r>
        <w:rPr>
          <w:rFonts w:hint="eastAsia"/>
          <w:snapToGrid w:val="0"/>
          <w:color w:val="000000"/>
          <w:szCs w:val="21"/>
        </w:rPr>
        <w:t>暂停或</w:t>
      </w:r>
      <w:r>
        <w:rPr>
          <w:snapToGrid w:val="0"/>
          <w:color w:val="000000"/>
          <w:szCs w:val="21"/>
        </w:rPr>
        <w:t>终止银企直联服务而无需事先通知乙方。乙方因此所遭受的全部损失，甲方概不负责。</w:t>
      </w:r>
    </w:p>
    <w:p w14:paraId="4998891B">
      <w:pPr>
        <w:numPr>
          <w:ilvl w:val="0"/>
          <w:numId w:val="15"/>
        </w:numPr>
        <w:tabs>
          <w:tab w:val="left" w:pos="851"/>
        </w:tabs>
        <w:spacing w:line="360" w:lineRule="auto"/>
        <w:ind w:firstLine="424" w:firstLineChars="202"/>
        <w:textAlignment w:val="center"/>
        <w:rPr>
          <w:snapToGrid w:val="0"/>
          <w:color w:val="000000"/>
          <w:szCs w:val="21"/>
        </w:rPr>
      </w:pPr>
      <w:r>
        <w:rPr>
          <w:snapToGrid w:val="0"/>
          <w:color w:val="000000"/>
          <w:szCs w:val="21"/>
        </w:rPr>
        <w:t>乙方通过银企直联发送的电子业务指令涉嫌洗钱、</w:t>
      </w:r>
      <w:r>
        <w:rPr>
          <w:rFonts w:hint="eastAsia"/>
          <w:snapToGrid w:val="0"/>
          <w:color w:val="000000"/>
          <w:szCs w:val="21"/>
        </w:rPr>
        <w:t>欺诈（含电诈）、恐怖融资</w:t>
      </w:r>
      <w:r>
        <w:rPr>
          <w:snapToGrid w:val="0"/>
          <w:color w:val="000000"/>
          <w:szCs w:val="21"/>
        </w:rPr>
        <w:t>或违反国家法律法规、监管政策及银行合规政策，甲方有权拒绝受理或延迟处理而无需事先通知乙方，乙方因此所遭受的全部损失应由乙方承担。</w:t>
      </w:r>
    </w:p>
    <w:p w14:paraId="4D65D7E1">
      <w:pPr>
        <w:pStyle w:val="23"/>
        <w:numPr>
          <w:ilvl w:val="0"/>
          <w:numId w:val="1"/>
        </w:numPr>
        <w:spacing w:before="240" w:after="60"/>
        <w:ind w:left="0" w:firstLine="426" w:firstLineChars="202"/>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反虚假宣传条款</w:t>
      </w:r>
    </w:p>
    <w:p w14:paraId="7D7EF9B5">
      <w:pPr>
        <w:spacing w:line="360" w:lineRule="auto"/>
        <w:ind w:firstLine="424" w:firstLineChars="202"/>
        <w:textAlignment w:val="center"/>
        <w:rPr>
          <w:snapToGrid w:val="0"/>
          <w:color w:val="000000"/>
          <w:szCs w:val="21"/>
        </w:rPr>
      </w:pPr>
      <w:r>
        <w:rPr>
          <w:snapToGrid w:val="0"/>
          <w:color w:val="000000"/>
          <w:szCs w:val="21"/>
        </w:rPr>
        <w:t>甲、乙双方均清楚并愿意严格遵守《中华人民共和国著作权法》、《中华人民共和国商标法》、《中华人民共和国专利法》、《中华人民共和国反不正当竞争法》等知识产权类、民法典及广告法等相关法律的规定，双方均有权就本合同所约定事项以约定方式在约定范围内进行真实、合理的使用或宣传，但不得涉及合同所约定的保密内容。为避免商标侵权及不当宣传等风险的发生，双方均同意，在使用对方的商标、品牌、企业名称等进行宣传前，均须获得对方事先的书面认可，否则，不得进行此类使用或宣传。双方在此承诺，会积极响应对方提出的就合作事项的合理使用或宣传申请。双方均承认，未经对方事先书面同意而利用其商标、品牌及企业名称等进行商业宣传；虚构合作事项；夸大合作范围、内容、效果、规模、程度等，均属对本合同的违反，并可能因虚假宣传构成不正当竞争，守约方或被侵权人将保留追究相应法律责任的权利。</w:t>
      </w:r>
    </w:p>
    <w:p w14:paraId="18E640FC">
      <w:pPr>
        <w:pStyle w:val="23"/>
        <w:numPr>
          <w:ilvl w:val="0"/>
          <w:numId w:val="1"/>
        </w:numPr>
        <w:spacing w:before="240" w:after="60"/>
        <w:ind w:left="0" w:firstLine="426" w:firstLineChars="202"/>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反商业贿赂条款</w:t>
      </w:r>
    </w:p>
    <w:p w14:paraId="31F9EB50">
      <w:pPr>
        <w:numPr>
          <w:ilvl w:val="0"/>
          <w:numId w:val="16"/>
        </w:numPr>
        <w:spacing w:line="360" w:lineRule="auto"/>
        <w:ind w:firstLine="424" w:firstLineChars="202"/>
        <w:textAlignment w:val="center"/>
        <w:rPr>
          <w:snapToGrid w:val="0"/>
          <w:color w:val="000000"/>
          <w:szCs w:val="21"/>
        </w:rPr>
      </w:pPr>
      <w:r>
        <w:rPr>
          <w:snapToGrid w:val="0"/>
          <w:color w:val="000000"/>
          <w:szCs w:val="21"/>
        </w:rPr>
        <w:t>甲乙双方都清楚并愿意严格遵守中华人民共和国反商业贿赂的法律规定，双方都清楚任何形式的贿赂和贪渎行为都将触犯法律，并将受到法律的严惩。</w:t>
      </w:r>
    </w:p>
    <w:p w14:paraId="41A2579A">
      <w:pPr>
        <w:numPr>
          <w:ilvl w:val="0"/>
          <w:numId w:val="16"/>
        </w:numPr>
        <w:spacing w:line="360" w:lineRule="auto"/>
        <w:ind w:firstLine="424" w:firstLineChars="202"/>
        <w:textAlignment w:val="center"/>
        <w:rPr>
          <w:snapToGrid w:val="0"/>
          <w:color w:val="000000"/>
          <w:szCs w:val="21"/>
        </w:rPr>
      </w:pPr>
      <w:r>
        <w:rPr>
          <w:snapToGrid w:val="0"/>
          <w:color w:val="000000"/>
          <w:szCs w:val="21"/>
        </w:rPr>
        <w:t>乙方或甲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14:paraId="5D3F6524">
      <w:pPr>
        <w:numPr>
          <w:ilvl w:val="0"/>
          <w:numId w:val="16"/>
        </w:numPr>
        <w:spacing w:line="360" w:lineRule="auto"/>
        <w:ind w:firstLine="424" w:firstLineChars="202"/>
        <w:textAlignment w:val="center"/>
        <w:rPr>
          <w:snapToGrid w:val="0"/>
          <w:color w:val="000000"/>
          <w:szCs w:val="21"/>
        </w:rPr>
      </w:pPr>
      <w:r>
        <w:rPr>
          <w:snapToGrid w:val="0"/>
          <w:color w:val="000000"/>
          <w:szCs w:val="21"/>
        </w:rPr>
        <w:t>双方严格禁止对方经办人员的任何商业贿赂行为。一方经办人发生本条第（二）款所示的任何一种行为，都是违反该方公司制度的，都将受到该方公司制度和国家法律的惩处。</w:t>
      </w:r>
    </w:p>
    <w:p w14:paraId="652B7F0B">
      <w:pPr>
        <w:numPr>
          <w:ilvl w:val="0"/>
          <w:numId w:val="16"/>
        </w:numPr>
        <w:spacing w:line="360" w:lineRule="auto"/>
        <w:ind w:firstLine="424" w:firstLineChars="202"/>
        <w:textAlignment w:val="center"/>
        <w:rPr>
          <w:snapToGrid w:val="0"/>
          <w:color w:val="000000"/>
          <w:szCs w:val="21"/>
        </w:rPr>
      </w:pPr>
      <w:r>
        <w:rPr>
          <w:snapToGrid w:val="0"/>
          <w:color w:val="000000"/>
          <w:szCs w:val="21"/>
        </w:rPr>
        <w:t>双方郑重提示：双方反对对方或对方经办人员为了本协议之目的与本协议以外的任何第三方发生本条第（二）款所列示的任何一种行为，该等行为都是违反国家法律的行为，并将受到国家法律的惩处。</w:t>
      </w:r>
    </w:p>
    <w:p w14:paraId="2AD3A78A">
      <w:pPr>
        <w:numPr>
          <w:ilvl w:val="0"/>
          <w:numId w:val="16"/>
        </w:numPr>
        <w:spacing w:line="360" w:lineRule="auto"/>
        <w:ind w:firstLine="424" w:firstLineChars="202"/>
        <w:textAlignment w:val="center"/>
        <w:rPr>
          <w:snapToGrid w:val="0"/>
          <w:color w:val="000000"/>
          <w:szCs w:val="21"/>
        </w:rPr>
      </w:pPr>
      <w:r>
        <w:rPr>
          <w:snapToGrid w:val="0"/>
          <w:color w:val="000000"/>
          <w:szCs w:val="21"/>
        </w:rPr>
        <w:t>因一方或者一方经办人违反上述第（二）、（三）、（四）款之规定，给对方造成损失的，应承担损害赔偿责任。</w:t>
      </w:r>
    </w:p>
    <w:p w14:paraId="244FE20F">
      <w:pPr>
        <w:numPr>
          <w:ilvl w:val="0"/>
          <w:numId w:val="16"/>
        </w:numPr>
        <w:spacing w:line="360" w:lineRule="auto"/>
        <w:ind w:firstLine="424" w:firstLineChars="202"/>
        <w:textAlignment w:val="center"/>
        <w:rPr>
          <w:snapToGrid w:val="0"/>
          <w:color w:val="000000"/>
          <w:szCs w:val="21"/>
        </w:rPr>
      </w:pPr>
      <w:r>
        <w:rPr>
          <w:snapToGrid w:val="0"/>
          <w:color w:val="000000"/>
          <w:szCs w:val="21"/>
        </w:rPr>
        <w:t>本条所称</w:t>
      </w:r>
      <w:r>
        <w:rPr>
          <w:rFonts w:hint="eastAsia"/>
          <w:snapToGrid w:val="0"/>
          <w:color w:val="000000"/>
          <w:szCs w:val="21"/>
        </w:rPr>
        <w:t>“</w:t>
      </w:r>
      <w:r>
        <w:rPr>
          <w:snapToGrid w:val="0"/>
          <w:color w:val="000000"/>
          <w:szCs w:val="21"/>
        </w:rPr>
        <w:t>其他相关人员</w:t>
      </w:r>
      <w:r>
        <w:rPr>
          <w:rFonts w:hint="eastAsia"/>
          <w:snapToGrid w:val="0"/>
          <w:color w:val="000000"/>
          <w:szCs w:val="21"/>
        </w:rPr>
        <w:t>”</w:t>
      </w:r>
      <w:r>
        <w:rPr>
          <w:snapToGrid w:val="0"/>
          <w:color w:val="000000"/>
          <w:szCs w:val="21"/>
        </w:rPr>
        <w:t>是指甲乙双方经办人以外的与本协议有直接或者间接利益关系的人员，包括但不限于本协议经办人的亲友。</w:t>
      </w:r>
    </w:p>
    <w:p w14:paraId="391DCB66">
      <w:pPr>
        <w:pStyle w:val="23"/>
        <w:numPr>
          <w:ilvl w:val="0"/>
          <w:numId w:val="1"/>
        </w:numPr>
        <w:spacing w:before="240" w:after="60"/>
        <w:ind w:left="0" w:firstLine="426" w:firstLineChars="202"/>
        <w:textAlignment w:val="center"/>
        <w:outlineLvl w:val="0"/>
        <w:rPr>
          <w:rStyle w:val="19"/>
          <w:rFonts w:ascii="Times New Roman" w:hAnsi="Times New Roman" w:cs="Times New Roman"/>
          <w:sz w:val="21"/>
          <w:szCs w:val="21"/>
        </w:rPr>
      </w:pPr>
      <w:r>
        <w:rPr>
          <w:rStyle w:val="19"/>
          <w:rFonts w:hint="eastAsia" w:cs="Times New Roman"/>
          <w:sz w:val="21"/>
          <w:szCs w:val="21"/>
        </w:rPr>
        <w:t>消费者权益保护</w:t>
      </w:r>
      <w:r>
        <w:rPr>
          <w:rStyle w:val="19"/>
          <w:rFonts w:ascii="Times New Roman" w:hAnsi="Times New Roman" w:cs="Times New Roman"/>
          <w:sz w:val="21"/>
          <w:szCs w:val="21"/>
        </w:rPr>
        <w:t>条款</w:t>
      </w:r>
    </w:p>
    <w:p w14:paraId="213F1B55">
      <w:pPr>
        <w:numPr>
          <w:ilvl w:val="0"/>
          <w:numId w:val="17"/>
        </w:numPr>
        <w:spacing w:line="360" w:lineRule="auto"/>
        <w:ind w:firstLine="424" w:firstLineChars="202"/>
        <w:textAlignment w:val="center"/>
        <w:rPr>
          <w:snapToGrid w:val="0"/>
          <w:color w:val="000000"/>
          <w:szCs w:val="21"/>
        </w:rPr>
      </w:pPr>
      <w:r>
        <w:rPr>
          <w:rFonts w:hint="eastAsia"/>
          <w:snapToGrid w:val="0"/>
          <w:color w:val="000000"/>
          <w:szCs w:val="21"/>
        </w:rPr>
        <w:t>乙方应在本协议履行过程中严格遵守《中华人民共和国个人信息保护法》、《中华人民共和国消费者权益保护法》、《中华人民共和国广告法》、《关于加强金融消费者权益保护工作的指导意见》、《中国人民银行金融消费者权益保护实施办法》以及其他与消费者权益保护相关的法律法规、监管规定中关于消费者权益保护的规定。</w:t>
      </w:r>
    </w:p>
    <w:p w14:paraId="3EB9B138">
      <w:pPr>
        <w:numPr>
          <w:ilvl w:val="0"/>
          <w:numId w:val="17"/>
        </w:numPr>
        <w:spacing w:line="360" w:lineRule="auto"/>
        <w:ind w:firstLine="424" w:firstLineChars="202"/>
        <w:textAlignment w:val="center"/>
        <w:rPr>
          <w:snapToGrid w:val="0"/>
          <w:color w:val="000000"/>
          <w:szCs w:val="21"/>
        </w:rPr>
      </w:pPr>
      <w:r>
        <w:rPr>
          <w:rFonts w:hint="eastAsia"/>
          <w:snapToGrid w:val="0"/>
          <w:color w:val="000000"/>
          <w:szCs w:val="21"/>
        </w:rPr>
        <w:t>乙方应着实保障消费者财产安全权、知情权、自主选择权、公平交易权、依法求偿权、受教育权、受尊重权及信息安全权：</w:t>
      </w:r>
    </w:p>
    <w:p w14:paraId="107044C1">
      <w:pPr>
        <w:numPr>
          <w:ilvl w:val="0"/>
          <w:numId w:val="18"/>
        </w:numPr>
        <w:tabs>
          <w:tab w:val="left" w:pos="709"/>
          <w:tab w:val="clear" w:pos="420"/>
        </w:tabs>
        <w:spacing w:line="360" w:lineRule="auto"/>
        <w:ind w:left="0" w:firstLine="424" w:firstLineChars="202"/>
        <w:textAlignment w:val="center"/>
        <w:rPr>
          <w:snapToGrid w:val="0"/>
          <w:color w:val="000000"/>
          <w:szCs w:val="21"/>
        </w:rPr>
      </w:pPr>
      <w:r>
        <w:rPr>
          <w:rFonts w:hint="eastAsia"/>
          <w:snapToGrid w:val="0"/>
          <w:color w:val="000000"/>
          <w:szCs w:val="21"/>
        </w:rPr>
        <w:t>保障消费者财产安全权。乙方应当依法保障消费者在购买产品和接受服务过程中的财产安全。乙方应当审慎经营，采取严格的内控措施和科学的技术监控手段，严格区分机构自身资产与消费者资产，不得挪用、占用消费者资金。</w:t>
      </w:r>
    </w:p>
    <w:p w14:paraId="76C6D3DB">
      <w:pPr>
        <w:numPr>
          <w:ilvl w:val="0"/>
          <w:numId w:val="18"/>
        </w:numPr>
        <w:tabs>
          <w:tab w:val="left" w:pos="709"/>
          <w:tab w:val="clear" w:pos="420"/>
        </w:tabs>
        <w:spacing w:line="360" w:lineRule="auto"/>
        <w:ind w:left="0" w:firstLine="424" w:firstLineChars="202"/>
        <w:textAlignment w:val="center"/>
        <w:rPr>
          <w:snapToGrid w:val="0"/>
          <w:color w:val="000000"/>
          <w:szCs w:val="21"/>
        </w:rPr>
      </w:pPr>
      <w:r>
        <w:rPr>
          <w:rFonts w:hint="eastAsia"/>
          <w:snapToGrid w:val="0"/>
          <w:color w:val="000000"/>
          <w:szCs w:val="21"/>
        </w:rPr>
        <w:t>保障消费者知情权。乙方应当以通俗易懂的语言，及时、真实、准确、全面地向消费者披露可能影响其决策的信息，充分提示风险，不得发布夸大产品收益、掩饰产品风险等欺诈信息，不得作虚假或引人误解的宣传。</w:t>
      </w:r>
    </w:p>
    <w:p w14:paraId="0BC33AC2">
      <w:pPr>
        <w:numPr>
          <w:ilvl w:val="0"/>
          <w:numId w:val="18"/>
        </w:numPr>
        <w:tabs>
          <w:tab w:val="left" w:pos="709"/>
          <w:tab w:val="clear" w:pos="420"/>
        </w:tabs>
        <w:spacing w:line="360" w:lineRule="auto"/>
        <w:ind w:left="0" w:firstLine="424" w:firstLineChars="202"/>
        <w:textAlignment w:val="center"/>
        <w:rPr>
          <w:snapToGrid w:val="0"/>
          <w:color w:val="000000"/>
          <w:szCs w:val="21"/>
        </w:rPr>
      </w:pPr>
      <w:r>
        <w:rPr>
          <w:rFonts w:hint="eastAsia"/>
          <w:snapToGrid w:val="0"/>
          <w:color w:val="000000"/>
          <w:szCs w:val="21"/>
        </w:rPr>
        <w:t>保障消费者自主选择权。乙方应当在法律法规和监管规定允许范围内，充分尊重消费者意愿，由消费者自主选择、自行决定是否购买产品或接受服务，不得强买强卖，不得违背消费者意愿搭售产品和服务，不得附加其他不合理条件，不得采用引人误解的手段诱使消费者购买产品。</w:t>
      </w:r>
    </w:p>
    <w:p w14:paraId="2453DBB7">
      <w:pPr>
        <w:numPr>
          <w:ilvl w:val="0"/>
          <w:numId w:val="18"/>
        </w:numPr>
        <w:tabs>
          <w:tab w:val="left" w:pos="709"/>
          <w:tab w:val="clear" w:pos="420"/>
        </w:tabs>
        <w:spacing w:line="360" w:lineRule="auto"/>
        <w:ind w:left="0" w:firstLine="424" w:firstLineChars="202"/>
        <w:textAlignment w:val="center"/>
        <w:rPr>
          <w:snapToGrid w:val="0"/>
          <w:color w:val="000000"/>
          <w:szCs w:val="21"/>
        </w:rPr>
      </w:pPr>
      <w:r>
        <w:rPr>
          <w:rFonts w:hint="eastAsia"/>
          <w:snapToGrid w:val="0"/>
          <w:color w:val="000000"/>
          <w:szCs w:val="21"/>
        </w:rPr>
        <w:t>保障消费者公平交易权。乙方不得设置违反公平原则的交易条件，在格式合同中不得加重消费者责任、限制或者排除消费者合法权利，不得限制消费者寻求法律救济途径，不得减轻、免除本机构损害消费者合法权益应当承担的民事责任。</w:t>
      </w:r>
    </w:p>
    <w:p w14:paraId="2A535541">
      <w:pPr>
        <w:numPr>
          <w:ilvl w:val="0"/>
          <w:numId w:val="18"/>
        </w:numPr>
        <w:tabs>
          <w:tab w:val="left" w:pos="709"/>
          <w:tab w:val="clear" w:pos="420"/>
        </w:tabs>
        <w:spacing w:line="360" w:lineRule="auto"/>
        <w:ind w:left="0" w:firstLine="424" w:firstLineChars="202"/>
        <w:textAlignment w:val="center"/>
        <w:rPr>
          <w:snapToGrid w:val="0"/>
          <w:color w:val="000000"/>
          <w:szCs w:val="21"/>
        </w:rPr>
      </w:pPr>
      <w:r>
        <w:rPr>
          <w:rFonts w:hint="eastAsia"/>
          <w:snapToGrid w:val="0"/>
          <w:color w:val="000000"/>
          <w:szCs w:val="21"/>
        </w:rPr>
        <w:t>保障消费者依法求偿权。乙方应当切实履行消费者投诉处理主体责任，在机构内部建立多层级投诉处理机制，完善投诉处理程序，建立投诉办理情况查询系统，提高消费者投诉处理质量和效率，接受社会监督。</w:t>
      </w:r>
    </w:p>
    <w:p w14:paraId="68FD30ED">
      <w:pPr>
        <w:numPr>
          <w:ilvl w:val="0"/>
          <w:numId w:val="18"/>
        </w:numPr>
        <w:tabs>
          <w:tab w:val="left" w:pos="709"/>
          <w:tab w:val="clear" w:pos="420"/>
        </w:tabs>
        <w:spacing w:line="360" w:lineRule="auto"/>
        <w:ind w:left="0" w:firstLine="424" w:firstLineChars="202"/>
        <w:textAlignment w:val="center"/>
        <w:rPr>
          <w:snapToGrid w:val="0"/>
          <w:color w:val="000000"/>
          <w:szCs w:val="21"/>
        </w:rPr>
      </w:pPr>
      <w:r>
        <w:rPr>
          <w:rFonts w:hint="eastAsia"/>
          <w:snapToGrid w:val="0"/>
          <w:color w:val="000000"/>
          <w:szCs w:val="21"/>
        </w:rPr>
        <w:t>保障消费者受教育权。乙方应当进一步强化消费者教育，积极组织或参与普及活动，开展广泛、持续的日常性消费者教育，帮助消费者提高对产品和服务的认知能力及自我保护能力，提升消费者诚实守信意识。</w:t>
      </w:r>
    </w:p>
    <w:p w14:paraId="023E9DB9">
      <w:pPr>
        <w:numPr>
          <w:ilvl w:val="0"/>
          <w:numId w:val="18"/>
        </w:numPr>
        <w:tabs>
          <w:tab w:val="left" w:pos="709"/>
          <w:tab w:val="clear" w:pos="420"/>
        </w:tabs>
        <w:spacing w:line="360" w:lineRule="auto"/>
        <w:ind w:left="0" w:firstLine="424" w:firstLineChars="202"/>
        <w:textAlignment w:val="center"/>
        <w:rPr>
          <w:snapToGrid w:val="0"/>
          <w:color w:val="000000"/>
          <w:szCs w:val="21"/>
        </w:rPr>
      </w:pPr>
      <w:r>
        <w:rPr>
          <w:rFonts w:hint="eastAsia"/>
          <w:snapToGrid w:val="0"/>
          <w:color w:val="000000"/>
          <w:szCs w:val="21"/>
        </w:rPr>
        <w:t>保障消费者受尊重权。乙方应当尊重消费者的人格尊严和民族风俗习惯，不得因消费者性别、年龄、种族、民族或国籍等不同进行歧视性差别对待。</w:t>
      </w:r>
    </w:p>
    <w:p w14:paraId="517A9066">
      <w:pPr>
        <w:numPr>
          <w:ilvl w:val="0"/>
          <w:numId w:val="18"/>
        </w:numPr>
        <w:tabs>
          <w:tab w:val="left" w:pos="709"/>
          <w:tab w:val="clear" w:pos="420"/>
        </w:tabs>
        <w:spacing w:line="360" w:lineRule="auto"/>
        <w:ind w:left="0" w:firstLine="424" w:firstLineChars="202"/>
        <w:textAlignment w:val="center"/>
        <w:rPr>
          <w:snapToGrid w:val="0"/>
          <w:color w:val="000000"/>
          <w:szCs w:val="21"/>
        </w:rPr>
      </w:pPr>
      <w:r>
        <w:rPr>
          <w:rFonts w:hint="eastAsia"/>
          <w:snapToGrid w:val="0"/>
          <w:color w:val="000000"/>
          <w:szCs w:val="21"/>
        </w:rPr>
        <w:t>保障消费者信息安全权。乙方应当严格防控消费者信息泄露风险，保障消费者信息安全。</w:t>
      </w:r>
    </w:p>
    <w:p w14:paraId="2B04CD1A">
      <w:pPr>
        <w:numPr>
          <w:ilvl w:val="0"/>
          <w:numId w:val="17"/>
        </w:numPr>
        <w:spacing w:line="360" w:lineRule="auto"/>
        <w:ind w:firstLine="424" w:firstLineChars="202"/>
        <w:textAlignment w:val="center"/>
        <w:rPr>
          <w:snapToGrid w:val="0"/>
          <w:color w:val="000000"/>
          <w:szCs w:val="21"/>
        </w:rPr>
      </w:pPr>
      <w:r>
        <w:rPr>
          <w:rFonts w:hint="eastAsia"/>
          <w:snapToGrid w:val="0"/>
          <w:color w:val="000000"/>
          <w:szCs w:val="21"/>
        </w:rPr>
        <w:t>具体到本协议项下事项，乙方的消费者权益保护义务还包括但不限于：</w:t>
      </w:r>
    </w:p>
    <w:p w14:paraId="2F8CDDF9">
      <w:pPr>
        <w:numPr>
          <w:ilvl w:val="0"/>
          <w:numId w:val="19"/>
        </w:numPr>
        <w:tabs>
          <w:tab w:val="left" w:pos="709"/>
          <w:tab w:val="clear" w:pos="420"/>
        </w:tabs>
        <w:spacing w:line="360" w:lineRule="auto"/>
        <w:ind w:left="0" w:firstLine="424" w:firstLineChars="202"/>
        <w:textAlignment w:val="center"/>
        <w:rPr>
          <w:snapToGrid w:val="0"/>
          <w:color w:val="000000"/>
          <w:szCs w:val="21"/>
        </w:rPr>
      </w:pPr>
      <w:r>
        <w:rPr>
          <w:rFonts w:hint="eastAsia"/>
          <w:snapToGrid w:val="0"/>
          <w:color w:val="000000"/>
          <w:szCs w:val="21"/>
        </w:rPr>
        <w:t>乙方应按照法律法规及消费者权益保护相关规范性文件的规定开展营销活动，包括但不限于：</w:t>
      </w:r>
    </w:p>
    <w:p w14:paraId="5B69FB37">
      <w:pPr>
        <w:numPr>
          <w:ilvl w:val="0"/>
          <w:numId w:val="20"/>
        </w:numPr>
        <w:tabs>
          <w:tab w:val="left" w:pos="709"/>
          <w:tab w:val="clear" w:pos="840"/>
        </w:tabs>
        <w:spacing w:line="360" w:lineRule="auto"/>
        <w:ind w:left="0" w:firstLine="424" w:firstLineChars="202"/>
        <w:textAlignment w:val="center"/>
        <w:rPr>
          <w:snapToGrid w:val="0"/>
          <w:color w:val="000000"/>
          <w:szCs w:val="21"/>
        </w:rPr>
      </w:pPr>
      <w:r>
        <w:rPr>
          <w:rFonts w:hint="eastAsia"/>
          <w:snapToGrid w:val="0"/>
          <w:color w:val="000000"/>
          <w:szCs w:val="21"/>
        </w:rPr>
        <w:t>乙方不得违规向消费者发送营销信息，包括不得非法获取消费者信息进行营销；不得采用盲呼方式或未经消费者同意即向其发送营销短信或向其住宅、交通工具等发送涉及营销的信息、以电子信息方式向其发送营销信息；向消费者发送营销信息的，应当明确发送者的真实身份和联系方式并向消费者提供拒绝继续接收的方式；</w:t>
      </w:r>
    </w:p>
    <w:p w14:paraId="5087CF4F">
      <w:pPr>
        <w:numPr>
          <w:ilvl w:val="0"/>
          <w:numId w:val="20"/>
        </w:numPr>
        <w:tabs>
          <w:tab w:val="left" w:pos="709"/>
          <w:tab w:val="clear" w:pos="840"/>
        </w:tabs>
        <w:spacing w:line="360" w:lineRule="auto"/>
        <w:ind w:left="0" w:firstLine="424" w:firstLineChars="202"/>
        <w:textAlignment w:val="center"/>
        <w:rPr>
          <w:snapToGrid w:val="0"/>
          <w:color w:val="000000"/>
          <w:szCs w:val="21"/>
        </w:rPr>
      </w:pPr>
      <w:r>
        <w:rPr>
          <w:rFonts w:hint="eastAsia"/>
          <w:snapToGrid w:val="0"/>
          <w:color w:val="000000"/>
          <w:szCs w:val="21"/>
        </w:rPr>
        <w:t>不得利用互联网进行不当营销宣传，包括不得提供或者利用应用程序、硬件等干扰消费者自主选择；以弹出页面等方式发布营销信息的，应当显著标明关闭标志，确保一键关闭；乙方应使用甲方提供的或者经甲方审核确认的营销信息，不得自行编发或转载未经甲方审核确认的营销宣传信息；</w:t>
      </w:r>
    </w:p>
    <w:p w14:paraId="6A3E2A0C">
      <w:pPr>
        <w:numPr>
          <w:ilvl w:val="0"/>
          <w:numId w:val="20"/>
        </w:numPr>
        <w:tabs>
          <w:tab w:val="left" w:pos="709"/>
          <w:tab w:val="clear" w:pos="840"/>
        </w:tabs>
        <w:spacing w:line="360" w:lineRule="auto"/>
        <w:ind w:left="0" w:firstLine="424" w:firstLineChars="202"/>
        <w:textAlignment w:val="center"/>
        <w:rPr>
          <w:snapToGrid w:val="0"/>
          <w:color w:val="000000"/>
          <w:szCs w:val="21"/>
        </w:rPr>
      </w:pPr>
      <w:r>
        <w:rPr>
          <w:rFonts w:hint="eastAsia"/>
          <w:snapToGrid w:val="0"/>
          <w:color w:val="000000"/>
          <w:szCs w:val="21"/>
        </w:rPr>
        <w:t>不得以欺诈或引人误解的方式进行营销宣传，包括不得引用不真实、不准确的数据和资料、不得隐瞒限制条件；不得进行虚假或夸大表述；不得对过往业绩进行虚假或夸大表述；不得对不同类型产品进行比较；不得使用偷换概念、不当类比、隐去假设等手段误导消费者；</w:t>
      </w:r>
    </w:p>
    <w:p w14:paraId="0AD25BBF">
      <w:pPr>
        <w:numPr>
          <w:ilvl w:val="0"/>
          <w:numId w:val="20"/>
        </w:numPr>
        <w:tabs>
          <w:tab w:val="left" w:pos="709"/>
          <w:tab w:val="clear" w:pos="840"/>
        </w:tabs>
        <w:spacing w:line="360" w:lineRule="auto"/>
        <w:ind w:left="0" w:firstLine="424" w:firstLineChars="202"/>
        <w:textAlignment w:val="center"/>
        <w:rPr>
          <w:snapToGrid w:val="0"/>
          <w:color w:val="000000"/>
          <w:szCs w:val="21"/>
        </w:rPr>
      </w:pPr>
      <w:r>
        <w:rPr>
          <w:rFonts w:hint="eastAsia"/>
          <w:snapToGrid w:val="0"/>
          <w:color w:val="000000"/>
          <w:szCs w:val="21"/>
        </w:rPr>
        <w:t>不得以损害公平竞争的方式开展营销宣传，包括不得以捏造、散布虚假事实等手段恶意诋毁甲方和乙方的竞争对手，损害同业信誉；不得通过不当评比、不当排序等方式进行营销宣传；不得冒用、擅自使用与他人相同或近似等有可能使消费者混淆的注册商标、字号、宣传册页；</w:t>
      </w:r>
    </w:p>
    <w:p w14:paraId="45CDCC80">
      <w:pPr>
        <w:numPr>
          <w:ilvl w:val="0"/>
          <w:numId w:val="20"/>
        </w:numPr>
        <w:tabs>
          <w:tab w:val="left" w:pos="709"/>
          <w:tab w:val="clear" w:pos="840"/>
        </w:tabs>
        <w:spacing w:line="360" w:lineRule="auto"/>
        <w:ind w:left="0" w:firstLine="424" w:firstLineChars="202"/>
        <w:textAlignment w:val="center"/>
        <w:rPr>
          <w:snapToGrid w:val="0"/>
          <w:color w:val="000000"/>
          <w:szCs w:val="21"/>
        </w:rPr>
      </w:pPr>
      <w:r>
        <w:rPr>
          <w:rFonts w:hint="eastAsia"/>
          <w:snapToGrid w:val="0"/>
          <w:color w:val="000000"/>
          <w:szCs w:val="21"/>
        </w:rPr>
        <w:t>不得利用政府公信力进行营销宣传，包括不得利用金融监管部门对金融产品或金融服务的核准或备案误导消费者认为金融监管部门对该产品或服务提供保证；不得超出本协议约定的产品或服务范围进行宣传；</w:t>
      </w:r>
    </w:p>
    <w:p w14:paraId="099D65AC">
      <w:pPr>
        <w:numPr>
          <w:ilvl w:val="0"/>
          <w:numId w:val="20"/>
        </w:numPr>
        <w:tabs>
          <w:tab w:val="left" w:pos="709"/>
          <w:tab w:val="clear" w:pos="840"/>
        </w:tabs>
        <w:spacing w:line="360" w:lineRule="auto"/>
        <w:ind w:left="0" w:firstLine="424" w:firstLineChars="202"/>
        <w:textAlignment w:val="center"/>
        <w:rPr>
          <w:snapToGrid w:val="0"/>
          <w:color w:val="000000"/>
          <w:szCs w:val="21"/>
        </w:rPr>
      </w:pPr>
      <w:r>
        <w:rPr>
          <w:rFonts w:hint="eastAsia"/>
          <w:snapToGrid w:val="0"/>
          <w:color w:val="000000"/>
          <w:szCs w:val="21"/>
        </w:rPr>
        <w:t>不得以损害消费者知情权的方式进行营销宣传，包括营销宣传应当通过足以引起消费者注意的文字、符号、字体、颜色等特别标识对限制消费者权利或加重其义务的事项进行说明；通过视频、音频方式开展营销宣传的，应当采取能够使消费者足够注意和易于接收理解的适当形式披露告知警示、免责类信息；</w:t>
      </w:r>
    </w:p>
    <w:p w14:paraId="79C940EA">
      <w:pPr>
        <w:numPr>
          <w:ilvl w:val="0"/>
          <w:numId w:val="20"/>
        </w:numPr>
        <w:tabs>
          <w:tab w:val="left" w:pos="709"/>
          <w:tab w:val="clear" w:pos="840"/>
        </w:tabs>
        <w:spacing w:line="360" w:lineRule="auto"/>
        <w:ind w:left="0" w:firstLine="424" w:firstLineChars="202"/>
        <w:textAlignment w:val="center"/>
        <w:rPr>
          <w:snapToGrid w:val="0"/>
          <w:color w:val="000000"/>
          <w:szCs w:val="21"/>
        </w:rPr>
      </w:pPr>
      <w:r>
        <w:rPr>
          <w:rFonts w:hint="eastAsia"/>
          <w:snapToGrid w:val="0"/>
          <w:color w:val="000000"/>
          <w:szCs w:val="21"/>
        </w:rPr>
        <w:t>不得侵害消费者自主选择权，包括不得出现强买强卖、强制捆绑、搭售、附加其他不合理条件等行为。</w:t>
      </w:r>
    </w:p>
    <w:p w14:paraId="2B1CC823">
      <w:pPr>
        <w:numPr>
          <w:ilvl w:val="0"/>
          <w:numId w:val="20"/>
        </w:numPr>
        <w:tabs>
          <w:tab w:val="left" w:pos="709"/>
          <w:tab w:val="clear" w:pos="840"/>
        </w:tabs>
        <w:spacing w:line="360" w:lineRule="auto"/>
        <w:ind w:left="0" w:firstLine="424" w:firstLineChars="202"/>
        <w:textAlignment w:val="center"/>
        <w:rPr>
          <w:snapToGrid w:val="0"/>
          <w:color w:val="000000"/>
          <w:szCs w:val="21"/>
        </w:rPr>
      </w:pPr>
      <w:r>
        <w:rPr>
          <w:rFonts w:hint="eastAsia"/>
          <w:snapToGrid w:val="0"/>
          <w:color w:val="000000"/>
          <w:szCs w:val="21"/>
        </w:rPr>
        <w:t>营销宣传的内容不得超出本协议约定的事项。</w:t>
      </w:r>
    </w:p>
    <w:p w14:paraId="69B7208E">
      <w:pPr>
        <w:numPr>
          <w:ilvl w:val="0"/>
          <w:numId w:val="19"/>
        </w:numPr>
        <w:tabs>
          <w:tab w:val="left" w:pos="709"/>
          <w:tab w:val="clear" w:pos="420"/>
        </w:tabs>
        <w:spacing w:line="360" w:lineRule="auto"/>
        <w:ind w:left="0" w:firstLine="424" w:firstLineChars="202"/>
        <w:textAlignment w:val="center"/>
        <w:rPr>
          <w:snapToGrid w:val="0"/>
          <w:color w:val="000000"/>
          <w:szCs w:val="21"/>
        </w:rPr>
      </w:pPr>
      <w:r>
        <w:rPr>
          <w:rFonts w:hint="eastAsia"/>
          <w:snapToGrid w:val="0"/>
          <w:color w:val="000000"/>
          <w:szCs w:val="21"/>
        </w:rPr>
        <w:t>依法依约明确收费主体、收费标准。如需向消费者收取费用，应事先在本协议中列明具体收费标准，不得巧立名目多收费、滥收费，变相推高消费者融资或投资成本，如未在本协议中列明，则视为无需向消费者收取任何费用，且乙方在履行本协议过程中应确保不得向消费者收取任何费用。</w:t>
      </w:r>
    </w:p>
    <w:p w14:paraId="0F632F26">
      <w:pPr>
        <w:numPr>
          <w:ilvl w:val="0"/>
          <w:numId w:val="19"/>
        </w:numPr>
        <w:tabs>
          <w:tab w:val="left" w:pos="709"/>
          <w:tab w:val="clear" w:pos="420"/>
        </w:tabs>
        <w:spacing w:line="360" w:lineRule="auto"/>
        <w:ind w:left="0" w:firstLine="424" w:firstLineChars="202"/>
        <w:textAlignment w:val="center"/>
        <w:rPr>
          <w:snapToGrid w:val="0"/>
          <w:color w:val="000000"/>
          <w:szCs w:val="21"/>
        </w:rPr>
      </w:pPr>
      <w:r>
        <w:rPr>
          <w:rFonts w:hint="eastAsia"/>
          <w:snapToGrid w:val="0"/>
          <w:color w:val="000000"/>
          <w:szCs w:val="21"/>
        </w:rPr>
        <w:t>合法合规收集、存储信息。乙方应确保在本协议项下所提供数据来源合法、合规，不得非法获取消费者信息；收集、使用消费者信息时，乙方应本着最小必要原则，且应在相应醒目位置使用通俗易懂的语言明确向消费者告知所收集、使用其信息的具体范围、目的、方式以及信息保存期限并获得消费者明确同意（按照法律法规规定可以不获得消费者同意的除外）。超出消费者已授权的范围处理消费者信息的，乙方应另行获得消费者的明确授权并妥善留存书面授权文件。乙方不得存储消费者敏感信息，因特殊业务需要确需存储的，应当符合国家法律法规及监管政策规定并确保妥善保管和存储消费者信息，防止信息遗失、毁损、泄露或者被篡改。乙方收集消费者信息用于营销、用户体验改进或者市场调查等非必要目的的，应当以妥善方式交由消费者自主选择是否同意将其信息用于上述目的；消费者不同意的，乙方不得因此拒绝提供产品或者服务。就不满14周岁消费者的信息以及个人敏感信息，乙方应给与足够的关注，并严格遵守《中华人民共和国个人信息保护法》及其他相关个人信息和个人数据保护相关规定。</w:t>
      </w:r>
    </w:p>
    <w:p w14:paraId="04B4BB5C">
      <w:pPr>
        <w:numPr>
          <w:ilvl w:val="0"/>
          <w:numId w:val="19"/>
        </w:numPr>
        <w:tabs>
          <w:tab w:val="left" w:pos="709"/>
          <w:tab w:val="clear" w:pos="420"/>
        </w:tabs>
        <w:spacing w:line="360" w:lineRule="auto"/>
        <w:ind w:left="0" w:firstLine="424" w:firstLineChars="202"/>
        <w:textAlignment w:val="center"/>
        <w:rPr>
          <w:snapToGrid w:val="0"/>
          <w:color w:val="000000"/>
          <w:szCs w:val="21"/>
        </w:rPr>
      </w:pPr>
      <w:r>
        <w:rPr>
          <w:rFonts w:hint="eastAsia"/>
          <w:snapToGrid w:val="0"/>
          <w:color w:val="000000"/>
          <w:szCs w:val="21"/>
        </w:rPr>
        <w:t>对消费者信息承担保密义务。乙方应对其获知的所有消费者信息承担保密义务，采取相应信息保密措施，建立信息保密机制建立和消费者信息泄漏的弥补机制。</w:t>
      </w:r>
    </w:p>
    <w:p w14:paraId="18B3E990">
      <w:pPr>
        <w:numPr>
          <w:ilvl w:val="0"/>
          <w:numId w:val="19"/>
        </w:numPr>
        <w:tabs>
          <w:tab w:val="left" w:pos="709"/>
          <w:tab w:val="clear" w:pos="420"/>
        </w:tabs>
        <w:spacing w:line="360" w:lineRule="auto"/>
        <w:ind w:left="0" w:firstLine="424" w:firstLineChars="202"/>
        <w:textAlignment w:val="center"/>
        <w:rPr>
          <w:snapToGrid w:val="0"/>
          <w:color w:val="000000"/>
          <w:szCs w:val="21"/>
        </w:rPr>
      </w:pPr>
      <w:r>
        <w:rPr>
          <w:rFonts w:hint="eastAsia"/>
          <w:snapToGrid w:val="0"/>
          <w:color w:val="000000"/>
          <w:szCs w:val="21"/>
        </w:rPr>
        <w:t>纠纷处理机制。甲乙双方应建立投诉及突发事件应急处理协调机制，妥善处理消费者投诉及各类突发事件。如因乙方违反本协议或本附件约定而产生消费者投诉事件，乙方应负责解决该等投诉并确保甲方不会因此产生损失，如甲方因此遭受损失，乙方应赔偿甲方。</w:t>
      </w:r>
    </w:p>
    <w:p w14:paraId="234E832C">
      <w:pPr>
        <w:numPr>
          <w:ilvl w:val="0"/>
          <w:numId w:val="19"/>
        </w:numPr>
        <w:tabs>
          <w:tab w:val="left" w:pos="709"/>
          <w:tab w:val="clear" w:pos="420"/>
        </w:tabs>
        <w:spacing w:line="360" w:lineRule="auto"/>
        <w:ind w:left="0" w:firstLine="424" w:firstLineChars="202"/>
        <w:textAlignment w:val="center"/>
        <w:rPr>
          <w:snapToGrid w:val="0"/>
          <w:color w:val="000000"/>
          <w:szCs w:val="21"/>
        </w:rPr>
      </w:pPr>
      <w:r>
        <w:rPr>
          <w:rFonts w:hint="eastAsia"/>
          <w:snapToGrid w:val="0"/>
          <w:color w:val="000000"/>
          <w:szCs w:val="21"/>
        </w:rPr>
        <w:t>乙方不得以任何理由以任何方式进驻甲方营业网点或甲方办公场地开展业务，且无论是否以甲方名义。</w:t>
      </w:r>
    </w:p>
    <w:p w14:paraId="4F029B75">
      <w:pPr>
        <w:numPr>
          <w:ilvl w:val="0"/>
          <w:numId w:val="17"/>
        </w:numPr>
        <w:spacing w:line="360" w:lineRule="auto"/>
        <w:ind w:firstLine="424" w:firstLineChars="202"/>
        <w:textAlignment w:val="center"/>
        <w:rPr>
          <w:snapToGrid w:val="0"/>
          <w:color w:val="000000"/>
          <w:szCs w:val="21"/>
        </w:rPr>
      </w:pPr>
      <w:r>
        <w:rPr>
          <w:rFonts w:hint="eastAsia"/>
          <w:snapToGrid w:val="0"/>
          <w:color w:val="000000"/>
          <w:szCs w:val="21"/>
        </w:rPr>
        <w:t>其他约定</w:t>
      </w:r>
    </w:p>
    <w:p w14:paraId="78885142">
      <w:pPr>
        <w:numPr>
          <w:ilvl w:val="255"/>
          <w:numId w:val="0"/>
        </w:numPr>
        <w:spacing w:line="360" w:lineRule="auto"/>
        <w:ind w:firstLine="424" w:firstLineChars="202"/>
        <w:textAlignment w:val="center"/>
        <w:rPr>
          <w:snapToGrid w:val="0"/>
          <w:color w:val="000000"/>
          <w:szCs w:val="21"/>
        </w:rPr>
      </w:pPr>
      <w:r>
        <w:rPr>
          <w:rFonts w:hint="eastAsia"/>
          <w:snapToGrid w:val="0"/>
          <w:color w:val="000000"/>
          <w:szCs w:val="21"/>
        </w:rPr>
        <w:t>如乙方违反本条的任一款，甲方有权要求乙方在指定期限内纠正或采取弥补措施，如乙方未能在甲方指定期限内或明确拒绝纠正或采取弥补措施，甲方有权以单方书面通知的方式立即提前终止本协议，并将乙方列入甲方的生态合作方黑名单。甲方提前终止本协议不影响乙方承担此前已产生的违约责任</w:t>
      </w:r>
      <w:r>
        <w:rPr>
          <w:snapToGrid w:val="0"/>
          <w:color w:val="000000"/>
          <w:szCs w:val="21"/>
        </w:rPr>
        <w:t>。</w:t>
      </w:r>
    </w:p>
    <w:p w14:paraId="139C8EA4">
      <w:pPr>
        <w:pStyle w:val="23"/>
        <w:numPr>
          <w:ilvl w:val="0"/>
          <w:numId w:val="1"/>
        </w:numPr>
        <w:spacing w:before="240" w:after="60"/>
        <w:ind w:left="0" w:firstLine="426" w:firstLineChars="202"/>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其他条款</w:t>
      </w:r>
    </w:p>
    <w:p w14:paraId="042DC114">
      <w:pPr>
        <w:spacing w:line="360" w:lineRule="auto"/>
        <w:ind w:firstLine="424" w:firstLineChars="202"/>
        <w:textAlignment w:val="center"/>
        <w:rPr>
          <w:snapToGrid w:val="0"/>
          <w:color w:val="000000"/>
          <w:szCs w:val="21"/>
        </w:rPr>
      </w:pPr>
      <w:r>
        <w:rPr>
          <w:snapToGrid w:val="0"/>
          <w:color w:val="000000"/>
          <w:szCs w:val="21"/>
        </w:rPr>
        <w:t>本协议适用中华人民共和国法律。</w:t>
      </w:r>
    </w:p>
    <w:p w14:paraId="4668A55E">
      <w:pPr>
        <w:numPr>
          <w:ilvl w:val="0"/>
          <w:numId w:val="21"/>
        </w:numPr>
        <w:tabs>
          <w:tab w:val="left" w:pos="851"/>
        </w:tabs>
        <w:spacing w:line="360" w:lineRule="auto"/>
        <w:ind w:firstLine="424" w:firstLineChars="202"/>
        <w:textAlignment w:val="center"/>
        <w:rPr>
          <w:snapToGrid w:val="0"/>
          <w:color w:val="000000"/>
          <w:szCs w:val="21"/>
        </w:rPr>
      </w:pPr>
      <w:r>
        <w:rPr>
          <w:snapToGrid w:val="0"/>
          <w:color w:val="000000"/>
          <w:szCs w:val="21"/>
        </w:rPr>
        <w:t>如果本协议的部分规定与有关的法律法规或金融规章相抵触，双方应按有关的法律法规或金融规章的规定履行自己的权利义务，协议的其他部分的效力不受影响。</w:t>
      </w:r>
    </w:p>
    <w:p w14:paraId="52367C9A">
      <w:pPr>
        <w:numPr>
          <w:ilvl w:val="0"/>
          <w:numId w:val="21"/>
        </w:numPr>
        <w:tabs>
          <w:tab w:val="left" w:pos="851"/>
        </w:tabs>
        <w:spacing w:line="360" w:lineRule="auto"/>
        <w:ind w:firstLine="424" w:firstLineChars="202"/>
        <w:textAlignment w:val="center"/>
        <w:rPr>
          <w:snapToGrid w:val="0"/>
          <w:color w:val="000000"/>
          <w:szCs w:val="21"/>
        </w:rPr>
      </w:pPr>
      <w:r>
        <w:rPr>
          <w:snapToGrid w:val="0"/>
          <w:color w:val="000000"/>
          <w:szCs w:val="21"/>
        </w:rPr>
        <w:t>本协议自甲乙双方签字盖章，且甲方在其系统中为乙方完成签约手续之日起生效。</w:t>
      </w:r>
    </w:p>
    <w:p w14:paraId="138D901F">
      <w:pPr>
        <w:numPr>
          <w:ilvl w:val="0"/>
          <w:numId w:val="21"/>
        </w:numPr>
        <w:tabs>
          <w:tab w:val="left" w:pos="851"/>
        </w:tabs>
        <w:spacing w:line="360" w:lineRule="auto"/>
        <w:ind w:firstLine="424" w:firstLineChars="202"/>
        <w:textAlignment w:val="center"/>
        <w:rPr>
          <w:snapToGrid w:val="0"/>
          <w:color w:val="000000"/>
          <w:szCs w:val="21"/>
        </w:rPr>
      </w:pPr>
      <w:r>
        <w:rPr>
          <w:snapToGrid w:val="0"/>
          <w:color w:val="000000"/>
          <w:szCs w:val="21"/>
        </w:rPr>
        <w:t>本协议旨在明确甲方为乙方提供银企直联服务过程中双方的权利和义务。其他未尽事宜可遵守有关双方协议，或经双方协商签订补充协议。补充协议与本协议具有同等法律效力。</w:t>
      </w:r>
    </w:p>
    <w:p w14:paraId="55A6082B">
      <w:pPr>
        <w:tabs>
          <w:tab w:val="left" w:pos="225"/>
        </w:tabs>
        <w:spacing w:line="360" w:lineRule="auto"/>
        <w:ind w:firstLine="424" w:firstLineChars="202"/>
        <w:textAlignment w:val="center"/>
        <w:rPr>
          <w:snapToGrid w:val="0"/>
          <w:color w:val="000000"/>
          <w:szCs w:val="21"/>
        </w:rPr>
      </w:pPr>
      <w:r>
        <w:rPr>
          <w:rFonts w:hint="eastAsia"/>
          <w:snapToGrid w:val="0"/>
          <w:color w:val="000000"/>
          <w:szCs w:val="21"/>
        </w:rPr>
        <w:t>（四）</w:t>
      </w:r>
      <w:r>
        <w:rPr>
          <w:snapToGrid w:val="0"/>
          <w:color w:val="000000"/>
          <w:szCs w:val="21"/>
        </w:rPr>
        <w:t>致签约方的温馨提示：</w:t>
      </w:r>
      <w:r>
        <w:rPr>
          <w:rFonts w:hint="eastAsia"/>
          <w:snapToGrid w:val="0"/>
          <w:color w:val="000000"/>
          <w:szCs w:val="21"/>
        </w:rPr>
        <w:t>如乙方对本协议存在任何意见或建议，乙方可通过</w:t>
      </w:r>
      <w:r>
        <w:rPr>
          <w:rFonts w:hint="eastAsia"/>
          <w:b/>
          <w:snapToGrid w:val="0"/>
          <w:color w:val="000000"/>
          <w:szCs w:val="21"/>
        </w:rPr>
        <w:t>客服电话（投诉热线95511-3-8、95511-2-8（信用卡））、投诉电子邮箱callcenter@pingan.com.cn、官方网站（https://bank.pingan.com）“智能客服”、 平安数字口袋移动端（企业）“在线客服”、平安口袋银行移动端（个人）“在线客服”、平安数字口袋小程序“智能客服”，或平安银行各营业网点</w:t>
      </w:r>
      <w:r>
        <w:rPr>
          <w:rFonts w:hint="eastAsia"/>
          <w:snapToGrid w:val="0"/>
          <w:color w:val="000000"/>
          <w:szCs w:val="21"/>
        </w:rPr>
        <w:t>进行咨询和反馈，平安银行受理乙方的问题后，将在</w:t>
      </w:r>
      <w:r>
        <w:rPr>
          <w:rFonts w:hint="eastAsia"/>
          <w:b/>
          <w:snapToGrid w:val="0"/>
          <w:color w:val="000000"/>
          <w:szCs w:val="21"/>
        </w:rPr>
        <w:t>15日内</w:t>
      </w:r>
      <w:r>
        <w:rPr>
          <w:rFonts w:hint="eastAsia"/>
          <w:snapToGrid w:val="0"/>
          <w:color w:val="000000"/>
          <w:szCs w:val="21"/>
        </w:rPr>
        <w:t>核实并为乙方提供解决方案。</w:t>
      </w:r>
    </w:p>
    <w:p w14:paraId="12DD49E4">
      <w:pPr>
        <w:tabs>
          <w:tab w:val="left" w:pos="225"/>
        </w:tabs>
        <w:spacing w:line="360" w:lineRule="auto"/>
        <w:ind w:firstLine="424" w:firstLineChars="202"/>
        <w:textAlignment w:val="center"/>
        <w:rPr>
          <w:snapToGrid w:val="0"/>
          <w:color w:val="000000"/>
          <w:szCs w:val="21"/>
        </w:rPr>
      </w:pPr>
      <w:r>
        <w:rPr>
          <w:snapToGrid w:val="0"/>
          <w:color w:val="000000"/>
          <w:szCs w:val="21"/>
        </w:rPr>
        <w:t>本协议当事方在此不可撤销地确认和声明其已对前述协议文件内容进行了充分阅读、理解并确认同意，且甲方已就前述协议文件中的重要及/或加粗提示条款向乙方提供了必要的解释和说明；据此，当事方在此</w:t>
      </w:r>
      <w:r>
        <w:rPr>
          <w:rFonts w:hint="eastAsia"/>
          <w:snapToGrid w:val="0"/>
          <w:color w:val="000000"/>
          <w:szCs w:val="21"/>
        </w:rPr>
        <w:t>达成一致</w:t>
      </w:r>
      <w:r>
        <w:rPr>
          <w:snapToGrid w:val="0"/>
          <w:color w:val="000000"/>
          <w:szCs w:val="21"/>
        </w:rPr>
        <w:t>签署</w:t>
      </w:r>
      <w:r>
        <w:rPr>
          <w:rFonts w:hint="eastAsia"/>
          <w:snapToGrid w:val="0"/>
          <w:color w:val="000000"/>
          <w:szCs w:val="21"/>
        </w:rPr>
        <w:t>。</w:t>
      </w:r>
    </w:p>
    <w:p w14:paraId="0FC01178">
      <w:pPr>
        <w:spacing w:line="360" w:lineRule="auto"/>
        <w:rPr>
          <w:b/>
          <w:bCs/>
          <w:color w:val="3366FF"/>
          <w:szCs w:val="21"/>
        </w:rPr>
      </w:pPr>
    </w:p>
    <w:p w14:paraId="4FB2B2FC">
      <w:pPr>
        <w:spacing w:line="360" w:lineRule="auto"/>
        <w:rPr>
          <w:b/>
          <w:color w:val="000000"/>
          <w:sz w:val="24"/>
          <w:szCs w:val="28"/>
        </w:rPr>
      </w:pPr>
      <w:r>
        <w:rPr>
          <w:b/>
          <w:color w:val="000000"/>
          <w:sz w:val="24"/>
          <w:szCs w:val="28"/>
        </w:rPr>
        <w:t>甲方（</w:t>
      </w:r>
      <w:r>
        <w:rPr>
          <w:rFonts w:hint="eastAsia"/>
          <w:b/>
          <w:color w:val="000000"/>
          <w:sz w:val="24"/>
          <w:szCs w:val="28"/>
        </w:rPr>
        <w:t>银行盖章</w:t>
      </w:r>
      <w:r>
        <w:rPr>
          <w:b/>
          <w:color w:val="000000"/>
          <w:sz w:val="24"/>
          <w:szCs w:val="28"/>
        </w:rPr>
        <w:t>）                       乙方（</w:t>
      </w:r>
      <w:r>
        <w:rPr>
          <w:rFonts w:hint="eastAsia"/>
          <w:b/>
          <w:color w:val="000000"/>
          <w:sz w:val="24"/>
          <w:szCs w:val="28"/>
        </w:rPr>
        <w:t>单位公章</w:t>
      </w:r>
      <w:r>
        <w:rPr>
          <w:b/>
          <w:color w:val="000000"/>
          <w:sz w:val="24"/>
          <w:szCs w:val="28"/>
        </w:rPr>
        <w:t>）</w:t>
      </w:r>
    </w:p>
    <w:p w14:paraId="7A67F375">
      <w:pPr>
        <w:spacing w:line="360" w:lineRule="auto"/>
        <w:rPr>
          <w:b/>
          <w:bCs/>
          <w:color w:val="000000"/>
          <w:sz w:val="24"/>
          <w:szCs w:val="28"/>
        </w:rPr>
      </w:pPr>
      <w:r>
        <w:rPr>
          <w:rFonts w:hint="eastAsia"/>
          <w:b/>
          <w:bCs/>
          <w:color w:val="000000"/>
          <w:sz w:val="24"/>
          <w:szCs w:val="28"/>
        </w:rPr>
        <w:t>委托代理人签字：</w:t>
      </w:r>
      <w:r>
        <w:rPr>
          <w:b/>
          <w:bCs/>
          <w:color w:val="000000"/>
          <w:sz w:val="24"/>
          <w:szCs w:val="28"/>
        </w:rPr>
        <w:t xml:space="preserve">                       </w:t>
      </w:r>
      <w:r>
        <w:rPr>
          <w:rFonts w:hint="eastAsia"/>
          <w:b/>
          <w:bCs/>
          <w:color w:val="000000"/>
          <w:sz w:val="24"/>
          <w:szCs w:val="28"/>
        </w:rPr>
        <w:t>法定代表人或委托代理人签字：</w:t>
      </w:r>
    </w:p>
    <w:p w14:paraId="449963F3">
      <w:pPr>
        <w:spacing w:line="360" w:lineRule="auto"/>
        <w:rPr>
          <w:b/>
          <w:bCs/>
          <w:color w:val="000000"/>
          <w:sz w:val="24"/>
          <w:szCs w:val="28"/>
        </w:rPr>
      </w:pPr>
      <w:r>
        <w:rPr>
          <w:b/>
          <w:bCs/>
          <w:color w:val="000000"/>
          <w:sz w:val="24"/>
          <w:szCs w:val="28"/>
        </w:rPr>
        <w:t xml:space="preserve">                                 </w:t>
      </w:r>
    </w:p>
    <w:p w14:paraId="2E4F72DA">
      <w:pPr>
        <w:spacing w:line="360" w:lineRule="auto"/>
        <w:rPr>
          <w:b/>
          <w:bCs/>
          <w:color w:val="000000"/>
          <w:sz w:val="24"/>
          <w:szCs w:val="28"/>
        </w:rPr>
      </w:pPr>
      <w:r>
        <w:rPr>
          <w:b/>
          <w:bCs/>
          <w:color w:val="000000"/>
          <w:sz w:val="24"/>
          <w:szCs w:val="28"/>
        </w:rPr>
        <w:t xml:space="preserve"> 签约日期：</w:t>
      </w:r>
      <w:r>
        <w:rPr>
          <w:b/>
          <w:bCs/>
          <w:color w:val="000000"/>
          <w:sz w:val="24"/>
          <w:szCs w:val="28"/>
          <w:u w:val="single"/>
        </w:rPr>
        <w:t xml:space="preserve">        </w:t>
      </w:r>
      <w:r>
        <w:rPr>
          <w:b/>
          <w:bCs/>
          <w:color w:val="000000"/>
          <w:sz w:val="24"/>
          <w:szCs w:val="28"/>
        </w:rPr>
        <w:t>年</w:t>
      </w:r>
      <w:r>
        <w:rPr>
          <w:b/>
          <w:bCs/>
          <w:color w:val="000000"/>
          <w:sz w:val="24"/>
          <w:szCs w:val="28"/>
          <w:u w:val="single"/>
        </w:rPr>
        <w:t xml:space="preserve">     </w:t>
      </w:r>
      <w:r>
        <w:rPr>
          <w:b/>
          <w:bCs/>
          <w:color w:val="000000"/>
          <w:sz w:val="24"/>
          <w:szCs w:val="28"/>
        </w:rPr>
        <w:t>月</w:t>
      </w:r>
      <w:r>
        <w:rPr>
          <w:b/>
          <w:bCs/>
          <w:color w:val="000000"/>
          <w:sz w:val="24"/>
          <w:szCs w:val="28"/>
          <w:u w:val="single"/>
        </w:rPr>
        <w:t xml:space="preserve">     </w:t>
      </w:r>
      <w:r>
        <w:rPr>
          <w:b/>
          <w:bCs/>
          <w:color w:val="000000"/>
          <w:sz w:val="24"/>
          <w:szCs w:val="28"/>
        </w:rPr>
        <w:t>日     签约日期：</w:t>
      </w:r>
      <w:r>
        <w:rPr>
          <w:b/>
          <w:bCs/>
          <w:color w:val="000000"/>
          <w:sz w:val="24"/>
          <w:szCs w:val="28"/>
          <w:u w:val="single"/>
        </w:rPr>
        <w:t xml:space="preserve">        </w:t>
      </w:r>
      <w:r>
        <w:rPr>
          <w:b/>
          <w:bCs/>
          <w:color w:val="000000"/>
          <w:sz w:val="24"/>
          <w:szCs w:val="28"/>
        </w:rPr>
        <w:t>年</w:t>
      </w:r>
      <w:r>
        <w:rPr>
          <w:b/>
          <w:bCs/>
          <w:color w:val="000000"/>
          <w:sz w:val="24"/>
          <w:szCs w:val="28"/>
          <w:u w:val="single"/>
        </w:rPr>
        <w:t xml:space="preserve">     </w:t>
      </w:r>
      <w:r>
        <w:rPr>
          <w:b/>
          <w:bCs/>
          <w:color w:val="000000"/>
          <w:sz w:val="24"/>
          <w:szCs w:val="28"/>
        </w:rPr>
        <w:t>月</w:t>
      </w:r>
      <w:r>
        <w:rPr>
          <w:b/>
          <w:bCs/>
          <w:color w:val="000000"/>
          <w:sz w:val="24"/>
          <w:szCs w:val="28"/>
          <w:u w:val="single"/>
        </w:rPr>
        <w:t xml:space="preserve">     </w:t>
      </w:r>
      <w:r>
        <w:rPr>
          <w:b/>
          <w:bCs/>
          <w:color w:val="000000"/>
          <w:sz w:val="24"/>
          <w:szCs w:val="28"/>
        </w:rPr>
        <w:t>日</w:t>
      </w:r>
    </w:p>
    <w:sectPr>
      <w:headerReference r:id="rId3" w:type="default"/>
      <w:footerReference r:id="rId5" w:type="default"/>
      <w:headerReference r:id="rId4" w:type="even"/>
      <w:footerReference r:id="rId6" w:type="even"/>
      <w:pgSz w:w="11906" w:h="16838"/>
      <w:pgMar w:top="1588" w:right="1588" w:bottom="158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6201842"/>
    </w:sdtPr>
    <w:sdtContent>
      <w:p w14:paraId="52519412">
        <w:pPr>
          <w:pStyle w:val="8"/>
          <w:jc w:val="right"/>
        </w:pPr>
        <w:r>
          <w:fldChar w:fldCharType="begin"/>
        </w:r>
        <w:r>
          <w:instrText xml:space="preserve">PAGE   \* MERGEFORMAT</w:instrText>
        </w:r>
        <w:r>
          <w:fldChar w:fldCharType="separate"/>
        </w:r>
        <w:r>
          <w:rPr>
            <w:lang w:val="zh-CN"/>
          </w:rPr>
          <w:t>-</w:t>
        </w:r>
        <w:r>
          <w:t xml:space="preserve"> 11 -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810902"/>
    </w:sdtPr>
    <w:sdtContent>
      <w:p w14:paraId="07983346">
        <w:pPr>
          <w:pStyle w:val="8"/>
        </w:pPr>
        <w:r>
          <w:fldChar w:fldCharType="begin"/>
        </w:r>
        <w:r>
          <w:instrText xml:space="preserve">PAGE   \* MERGEFORMAT</w:instrText>
        </w:r>
        <w:r>
          <w:fldChar w:fldCharType="separate"/>
        </w:r>
        <w:r>
          <w:rPr>
            <w:lang w:val="zh-CN"/>
          </w:rPr>
          <w:t>-</w:t>
        </w:r>
        <w:r>
          <w:t xml:space="preserve"> 12 -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0AE4">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845A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EFC57"/>
    <w:multiLevelType w:val="singleLevel"/>
    <w:tmpl w:val="94CEFC57"/>
    <w:lvl w:ilvl="0" w:tentative="0">
      <w:start w:val="1"/>
      <w:numFmt w:val="chineseCounting"/>
      <w:suff w:val="nothing"/>
      <w:lvlText w:val="（%1）"/>
      <w:lvlJc w:val="left"/>
      <w:pPr>
        <w:tabs>
          <w:tab w:val="left" w:pos="0"/>
        </w:tabs>
      </w:pPr>
      <w:rPr>
        <w:rFonts w:hint="eastAsia"/>
      </w:rPr>
    </w:lvl>
  </w:abstractNum>
  <w:abstractNum w:abstractNumId="1">
    <w:nsid w:val="A38632AC"/>
    <w:multiLevelType w:val="singleLevel"/>
    <w:tmpl w:val="A38632AC"/>
    <w:lvl w:ilvl="0" w:tentative="0">
      <w:start w:val="1"/>
      <w:numFmt w:val="chineseCounting"/>
      <w:suff w:val="nothing"/>
      <w:lvlText w:val="（%1）"/>
      <w:lvlJc w:val="left"/>
      <w:rPr>
        <w:rFonts w:hint="eastAsia"/>
      </w:rPr>
    </w:lvl>
  </w:abstractNum>
  <w:abstractNum w:abstractNumId="2">
    <w:nsid w:val="AB47D761"/>
    <w:multiLevelType w:val="singleLevel"/>
    <w:tmpl w:val="AB47D761"/>
    <w:lvl w:ilvl="0" w:tentative="0">
      <w:start w:val="1"/>
      <w:numFmt w:val="chineseCounting"/>
      <w:suff w:val="nothing"/>
      <w:lvlText w:val="（%1）"/>
      <w:lvlJc w:val="left"/>
      <w:rPr>
        <w:rFonts w:hint="eastAsia"/>
      </w:rPr>
    </w:lvl>
  </w:abstractNum>
  <w:abstractNum w:abstractNumId="3">
    <w:nsid w:val="C461D960"/>
    <w:multiLevelType w:val="singleLevel"/>
    <w:tmpl w:val="C461D960"/>
    <w:lvl w:ilvl="0" w:tentative="0">
      <w:start w:val="1"/>
      <w:numFmt w:val="decimal"/>
      <w:lvlText w:val="%1."/>
      <w:lvlJc w:val="left"/>
      <w:pPr>
        <w:ind w:left="425" w:hanging="425"/>
      </w:pPr>
      <w:rPr>
        <w:rFonts w:hint="default"/>
      </w:rPr>
    </w:lvl>
  </w:abstractNum>
  <w:abstractNum w:abstractNumId="4">
    <w:nsid w:val="D306833F"/>
    <w:multiLevelType w:val="singleLevel"/>
    <w:tmpl w:val="D306833F"/>
    <w:lvl w:ilvl="0" w:tentative="0">
      <w:start w:val="1"/>
      <w:numFmt w:val="chineseCounting"/>
      <w:suff w:val="nothing"/>
      <w:lvlText w:val="（%1）"/>
      <w:lvlJc w:val="left"/>
      <w:rPr>
        <w:rFonts w:hint="eastAsia"/>
      </w:rPr>
    </w:lvl>
  </w:abstractNum>
  <w:abstractNum w:abstractNumId="5">
    <w:nsid w:val="DD882598"/>
    <w:multiLevelType w:val="singleLevel"/>
    <w:tmpl w:val="DD882598"/>
    <w:lvl w:ilvl="0" w:tentative="0">
      <w:start w:val="1"/>
      <w:numFmt w:val="chineseCounting"/>
      <w:suff w:val="nothing"/>
      <w:lvlText w:val="（%1）"/>
      <w:lvlJc w:val="left"/>
      <w:pPr>
        <w:tabs>
          <w:tab w:val="left" w:pos="0"/>
        </w:tabs>
      </w:pPr>
      <w:rPr>
        <w:rFonts w:hint="eastAsia"/>
      </w:rPr>
    </w:lvl>
  </w:abstractNum>
  <w:abstractNum w:abstractNumId="6">
    <w:nsid w:val="DE8B7CAD"/>
    <w:multiLevelType w:val="singleLevel"/>
    <w:tmpl w:val="DE8B7CAD"/>
    <w:lvl w:ilvl="0" w:tentative="0">
      <w:start w:val="1"/>
      <w:numFmt w:val="chineseCounting"/>
      <w:suff w:val="nothing"/>
      <w:lvlText w:val="（%1）"/>
      <w:lvlJc w:val="left"/>
      <w:rPr>
        <w:rFonts w:hint="eastAsia"/>
      </w:rPr>
    </w:lvl>
  </w:abstractNum>
  <w:abstractNum w:abstractNumId="7">
    <w:nsid w:val="0D941DE8"/>
    <w:multiLevelType w:val="multilevel"/>
    <w:tmpl w:val="0D941DE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093CAC0"/>
    <w:multiLevelType w:val="singleLevel"/>
    <w:tmpl w:val="1093CAC0"/>
    <w:lvl w:ilvl="0" w:tentative="0">
      <w:start w:val="1"/>
      <w:numFmt w:val="chineseCounting"/>
      <w:suff w:val="nothing"/>
      <w:lvlText w:val="（%1）"/>
      <w:lvlJc w:val="left"/>
      <w:rPr>
        <w:rFonts w:hint="eastAsia"/>
      </w:rPr>
    </w:lvl>
  </w:abstractNum>
  <w:abstractNum w:abstractNumId="9">
    <w:nsid w:val="10BBBEDA"/>
    <w:multiLevelType w:val="singleLevel"/>
    <w:tmpl w:val="10BBBEDA"/>
    <w:lvl w:ilvl="0" w:tentative="0">
      <w:start w:val="1"/>
      <w:numFmt w:val="chineseCounting"/>
      <w:suff w:val="nothing"/>
      <w:lvlText w:val="（%1）"/>
      <w:lvlJc w:val="left"/>
      <w:rPr>
        <w:rFonts w:hint="eastAsia"/>
      </w:rPr>
    </w:lvl>
  </w:abstractNum>
  <w:abstractNum w:abstractNumId="10">
    <w:nsid w:val="14DECF11"/>
    <w:multiLevelType w:val="singleLevel"/>
    <w:tmpl w:val="14DECF11"/>
    <w:lvl w:ilvl="0" w:tentative="0">
      <w:start w:val="1"/>
      <w:numFmt w:val="chineseCounting"/>
      <w:suff w:val="nothing"/>
      <w:lvlText w:val="（%1）"/>
      <w:lvlJc w:val="left"/>
      <w:pPr>
        <w:ind w:left="0" w:firstLine="420"/>
      </w:pPr>
      <w:rPr>
        <w:rFonts w:hint="eastAsia"/>
      </w:rPr>
    </w:lvl>
  </w:abstractNum>
  <w:abstractNum w:abstractNumId="11">
    <w:nsid w:val="1B4CF251"/>
    <w:multiLevelType w:val="singleLevel"/>
    <w:tmpl w:val="1B4CF251"/>
    <w:lvl w:ilvl="0" w:tentative="0">
      <w:start w:val="1"/>
      <w:numFmt w:val="decimal"/>
      <w:lvlText w:val="(%1)"/>
      <w:lvlJc w:val="left"/>
      <w:pPr>
        <w:tabs>
          <w:tab w:val="left" w:pos="840"/>
        </w:tabs>
        <w:ind w:left="1265" w:hanging="425"/>
      </w:pPr>
      <w:rPr>
        <w:rFonts w:hint="default"/>
      </w:rPr>
    </w:lvl>
  </w:abstractNum>
  <w:abstractNum w:abstractNumId="12">
    <w:nsid w:val="26FB492F"/>
    <w:multiLevelType w:val="singleLevel"/>
    <w:tmpl w:val="26FB492F"/>
    <w:lvl w:ilvl="0" w:tentative="0">
      <w:start w:val="1"/>
      <w:numFmt w:val="decimal"/>
      <w:lvlText w:val="%1."/>
      <w:lvlJc w:val="left"/>
      <w:pPr>
        <w:tabs>
          <w:tab w:val="left" w:pos="420"/>
        </w:tabs>
        <w:ind w:left="845" w:hanging="425"/>
      </w:pPr>
      <w:rPr>
        <w:rFonts w:hint="default"/>
      </w:rPr>
    </w:lvl>
  </w:abstractNum>
  <w:abstractNum w:abstractNumId="13">
    <w:nsid w:val="2C1FC789"/>
    <w:multiLevelType w:val="singleLevel"/>
    <w:tmpl w:val="2C1FC789"/>
    <w:lvl w:ilvl="0" w:tentative="0">
      <w:start w:val="1"/>
      <w:numFmt w:val="chineseCounting"/>
      <w:suff w:val="nothing"/>
      <w:lvlText w:val="（%1）"/>
      <w:lvlJc w:val="left"/>
      <w:rPr>
        <w:rFonts w:hint="eastAsia"/>
      </w:rPr>
    </w:lvl>
  </w:abstractNum>
  <w:abstractNum w:abstractNumId="14">
    <w:nsid w:val="3EF8FF8C"/>
    <w:multiLevelType w:val="singleLevel"/>
    <w:tmpl w:val="3EF8FF8C"/>
    <w:lvl w:ilvl="0" w:tentative="0">
      <w:start w:val="1"/>
      <w:numFmt w:val="chineseCounting"/>
      <w:suff w:val="nothing"/>
      <w:lvlText w:val="（%1）"/>
      <w:lvlJc w:val="left"/>
      <w:rPr>
        <w:rFonts w:hint="eastAsia"/>
      </w:rPr>
    </w:lvl>
  </w:abstractNum>
  <w:abstractNum w:abstractNumId="15">
    <w:nsid w:val="4F165058"/>
    <w:multiLevelType w:val="multilevel"/>
    <w:tmpl w:val="4F165058"/>
    <w:lvl w:ilvl="0" w:tentative="0">
      <w:start w:val="1"/>
      <w:numFmt w:val="japaneseCounting"/>
      <w:lvlText w:val="第%1条"/>
      <w:lvlJc w:val="left"/>
      <w:pPr>
        <w:ind w:left="1262" w:hanging="840"/>
      </w:pPr>
      <w:rPr>
        <w:rFonts w:hint="default" w:asciiTheme="majorHAnsi" w:hAnsiTheme="majorHAnsi" w:cstheme="majorBidi"/>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6">
    <w:nsid w:val="5EE37F88"/>
    <w:multiLevelType w:val="singleLevel"/>
    <w:tmpl w:val="5EE37F88"/>
    <w:lvl w:ilvl="0" w:tentative="0">
      <w:start w:val="1"/>
      <w:numFmt w:val="chineseCounting"/>
      <w:suff w:val="nothing"/>
      <w:lvlText w:val="（%1）"/>
      <w:lvlJc w:val="left"/>
      <w:rPr>
        <w:rFonts w:hint="eastAsia"/>
      </w:rPr>
    </w:lvl>
  </w:abstractNum>
  <w:abstractNum w:abstractNumId="17">
    <w:nsid w:val="6B706518"/>
    <w:multiLevelType w:val="multilevel"/>
    <w:tmpl w:val="6B7065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0B4A89"/>
    <w:multiLevelType w:val="multilevel"/>
    <w:tmpl w:val="6F0B4A89"/>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9">
    <w:nsid w:val="75D0FAEF"/>
    <w:multiLevelType w:val="singleLevel"/>
    <w:tmpl w:val="75D0FAEF"/>
    <w:lvl w:ilvl="0" w:tentative="0">
      <w:start w:val="1"/>
      <w:numFmt w:val="decimal"/>
      <w:lvlText w:val="%1."/>
      <w:lvlJc w:val="left"/>
      <w:pPr>
        <w:tabs>
          <w:tab w:val="left" w:pos="312"/>
        </w:tabs>
      </w:pPr>
    </w:lvl>
  </w:abstractNum>
  <w:abstractNum w:abstractNumId="20">
    <w:nsid w:val="7F59AC2A"/>
    <w:multiLevelType w:val="singleLevel"/>
    <w:tmpl w:val="7F59AC2A"/>
    <w:lvl w:ilvl="0" w:tentative="0">
      <w:start w:val="1"/>
      <w:numFmt w:val="decimal"/>
      <w:lvlText w:val="%1."/>
      <w:lvlJc w:val="left"/>
      <w:pPr>
        <w:tabs>
          <w:tab w:val="left" w:pos="420"/>
        </w:tabs>
        <w:ind w:left="845" w:hanging="425"/>
      </w:pPr>
      <w:rPr>
        <w:rFonts w:hint="default"/>
      </w:rPr>
    </w:lvl>
  </w:abstractNum>
  <w:num w:numId="1">
    <w:abstractNumId w:val="15"/>
  </w:num>
  <w:num w:numId="2">
    <w:abstractNumId w:val="14"/>
  </w:num>
  <w:num w:numId="3">
    <w:abstractNumId w:val="5"/>
  </w:num>
  <w:num w:numId="4">
    <w:abstractNumId w:val="19"/>
  </w:num>
  <w:num w:numId="5">
    <w:abstractNumId w:val="17"/>
  </w:num>
  <w:num w:numId="6">
    <w:abstractNumId w:val="16"/>
  </w:num>
  <w:num w:numId="7">
    <w:abstractNumId w:val="1"/>
  </w:num>
  <w:num w:numId="8">
    <w:abstractNumId w:val="8"/>
  </w:num>
  <w:num w:numId="9">
    <w:abstractNumId w:val="3"/>
  </w:num>
  <w:num w:numId="10">
    <w:abstractNumId w:val="9"/>
  </w:num>
  <w:num w:numId="11">
    <w:abstractNumId w:val="0"/>
  </w:num>
  <w:num w:numId="12">
    <w:abstractNumId w:val="7"/>
  </w:num>
  <w:num w:numId="13">
    <w:abstractNumId w:val="18"/>
  </w:num>
  <w:num w:numId="14">
    <w:abstractNumId w:val="4"/>
  </w:num>
  <w:num w:numId="15">
    <w:abstractNumId w:val="2"/>
  </w:num>
  <w:num w:numId="16">
    <w:abstractNumId w:val="6"/>
  </w:num>
  <w:num w:numId="17">
    <w:abstractNumId w:val="10"/>
  </w:num>
  <w:num w:numId="18">
    <w:abstractNumId w:val="20"/>
  </w:num>
  <w:num w:numId="19">
    <w:abstractNumId w:val="12"/>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6E"/>
    <w:rsid w:val="000038E4"/>
    <w:rsid w:val="000050E7"/>
    <w:rsid w:val="00032115"/>
    <w:rsid w:val="00053BA2"/>
    <w:rsid w:val="00060C6E"/>
    <w:rsid w:val="0006495F"/>
    <w:rsid w:val="000650E0"/>
    <w:rsid w:val="00070D90"/>
    <w:rsid w:val="00081C4A"/>
    <w:rsid w:val="000826DC"/>
    <w:rsid w:val="00083367"/>
    <w:rsid w:val="00085064"/>
    <w:rsid w:val="00095CFC"/>
    <w:rsid w:val="000A7C50"/>
    <w:rsid w:val="000B41CB"/>
    <w:rsid w:val="000C1761"/>
    <w:rsid w:val="000D0167"/>
    <w:rsid w:val="000D0F32"/>
    <w:rsid w:val="000D3E1C"/>
    <w:rsid w:val="000F07EE"/>
    <w:rsid w:val="000F142E"/>
    <w:rsid w:val="000F486D"/>
    <w:rsid w:val="00102566"/>
    <w:rsid w:val="001068C6"/>
    <w:rsid w:val="0011530E"/>
    <w:rsid w:val="001251CE"/>
    <w:rsid w:val="00134D49"/>
    <w:rsid w:val="001436FA"/>
    <w:rsid w:val="00145346"/>
    <w:rsid w:val="00145822"/>
    <w:rsid w:val="00173769"/>
    <w:rsid w:val="00182798"/>
    <w:rsid w:val="00184D10"/>
    <w:rsid w:val="0018503C"/>
    <w:rsid w:val="00197A41"/>
    <w:rsid w:val="00197F67"/>
    <w:rsid w:val="001C3D68"/>
    <w:rsid w:val="001C5C2A"/>
    <w:rsid w:val="001E5997"/>
    <w:rsid w:val="001E67FF"/>
    <w:rsid w:val="001E7C07"/>
    <w:rsid w:val="002055AD"/>
    <w:rsid w:val="00212F60"/>
    <w:rsid w:val="00214C6A"/>
    <w:rsid w:val="0022405E"/>
    <w:rsid w:val="00232025"/>
    <w:rsid w:val="00233DF2"/>
    <w:rsid w:val="00240F87"/>
    <w:rsid w:val="002427D4"/>
    <w:rsid w:val="00244685"/>
    <w:rsid w:val="00245612"/>
    <w:rsid w:val="00246FA4"/>
    <w:rsid w:val="00250CC7"/>
    <w:rsid w:val="00264779"/>
    <w:rsid w:val="00271927"/>
    <w:rsid w:val="00276855"/>
    <w:rsid w:val="00277DD2"/>
    <w:rsid w:val="00285CA3"/>
    <w:rsid w:val="0029679F"/>
    <w:rsid w:val="002C70C9"/>
    <w:rsid w:val="002D0BA4"/>
    <w:rsid w:val="002D273C"/>
    <w:rsid w:val="002D2E27"/>
    <w:rsid w:val="002D44F3"/>
    <w:rsid w:val="002D65D5"/>
    <w:rsid w:val="002E211E"/>
    <w:rsid w:val="002E741B"/>
    <w:rsid w:val="002F0AC6"/>
    <w:rsid w:val="00301858"/>
    <w:rsid w:val="00303E01"/>
    <w:rsid w:val="003130D0"/>
    <w:rsid w:val="00323C93"/>
    <w:rsid w:val="00324D52"/>
    <w:rsid w:val="0032792F"/>
    <w:rsid w:val="00327F46"/>
    <w:rsid w:val="00336D51"/>
    <w:rsid w:val="00342841"/>
    <w:rsid w:val="0034386B"/>
    <w:rsid w:val="00355DB8"/>
    <w:rsid w:val="00371F75"/>
    <w:rsid w:val="00374BAB"/>
    <w:rsid w:val="00390AC8"/>
    <w:rsid w:val="00396379"/>
    <w:rsid w:val="0039656A"/>
    <w:rsid w:val="003A022F"/>
    <w:rsid w:val="003C377B"/>
    <w:rsid w:val="003D17AC"/>
    <w:rsid w:val="003D6239"/>
    <w:rsid w:val="003E17FB"/>
    <w:rsid w:val="003F0483"/>
    <w:rsid w:val="004172E7"/>
    <w:rsid w:val="00433251"/>
    <w:rsid w:val="00436EBA"/>
    <w:rsid w:val="00437024"/>
    <w:rsid w:val="004378C0"/>
    <w:rsid w:val="00441691"/>
    <w:rsid w:val="00441DF4"/>
    <w:rsid w:val="00465085"/>
    <w:rsid w:val="0046587B"/>
    <w:rsid w:val="00467A02"/>
    <w:rsid w:val="004763FE"/>
    <w:rsid w:val="00493914"/>
    <w:rsid w:val="004B4430"/>
    <w:rsid w:val="004C02E9"/>
    <w:rsid w:val="004D1073"/>
    <w:rsid w:val="004F5713"/>
    <w:rsid w:val="00501263"/>
    <w:rsid w:val="00503155"/>
    <w:rsid w:val="005050ED"/>
    <w:rsid w:val="0051158C"/>
    <w:rsid w:val="00512946"/>
    <w:rsid w:val="00517012"/>
    <w:rsid w:val="00517DEC"/>
    <w:rsid w:val="00526370"/>
    <w:rsid w:val="005356F9"/>
    <w:rsid w:val="0053799A"/>
    <w:rsid w:val="0054038F"/>
    <w:rsid w:val="00550EC0"/>
    <w:rsid w:val="00563985"/>
    <w:rsid w:val="005835C2"/>
    <w:rsid w:val="005A0D52"/>
    <w:rsid w:val="005B0EC9"/>
    <w:rsid w:val="005C0835"/>
    <w:rsid w:val="005C0F54"/>
    <w:rsid w:val="005D0268"/>
    <w:rsid w:val="005D6B35"/>
    <w:rsid w:val="005F1BD5"/>
    <w:rsid w:val="005F278D"/>
    <w:rsid w:val="005F37CD"/>
    <w:rsid w:val="00612304"/>
    <w:rsid w:val="00614333"/>
    <w:rsid w:val="00615CB5"/>
    <w:rsid w:val="0062299F"/>
    <w:rsid w:val="006241ED"/>
    <w:rsid w:val="006265E9"/>
    <w:rsid w:val="0063243B"/>
    <w:rsid w:val="006336B1"/>
    <w:rsid w:val="00635020"/>
    <w:rsid w:val="00635F08"/>
    <w:rsid w:val="00641734"/>
    <w:rsid w:val="00644099"/>
    <w:rsid w:val="006472E6"/>
    <w:rsid w:val="00647301"/>
    <w:rsid w:val="00651843"/>
    <w:rsid w:val="00653C16"/>
    <w:rsid w:val="00662BAA"/>
    <w:rsid w:val="0066466A"/>
    <w:rsid w:val="006726DC"/>
    <w:rsid w:val="00682508"/>
    <w:rsid w:val="00690F19"/>
    <w:rsid w:val="00697FA3"/>
    <w:rsid w:val="006A5763"/>
    <w:rsid w:val="006A78A7"/>
    <w:rsid w:val="006C1DD4"/>
    <w:rsid w:val="006C4902"/>
    <w:rsid w:val="006E31A0"/>
    <w:rsid w:val="006F7F70"/>
    <w:rsid w:val="00722F6F"/>
    <w:rsid w:val="007236AE"/>
    <w:rsid w:val="007238C7"/>
    <w:rsid w:val="007315BC"/>
    <w:rsid w:val="00731687"/>
    <w:rsid w:val="0073190A"/>
    <w:rsid w:val="00732F10"/>
    <w:rsid w:val="007378AC"/>
    <w:rsid w:val="0074379C"/>
    <w:rsid w:val="00744E78"/>
    <w:rsid w:val="0074685C"/>
    <w:rsid w:val="007613F7"/>
    <w:rsid w:val="00765270"/>
    <w:rsid w:val="00780B98"/>
    <w:rsid w:val="00782EBC"/>
    <w:rsid w:val="00785368"/>
    <w:rsid w:val="00793465"/>
    <w:rsid w:val="007A602E"/>
    <w:rsid w:val="007B00C2"/>
    <w:rsid w:val="007B335B"/>
    <w:rsid w:val="007B73C1"/>
    <w:rsid w:val="007C1F2C"/>
    <w:rsid w:val="007C578B"/>
    <w:rsid w:val="007C6E52"/>
    <w:rsid w:val="007C741C"/>
    <w:rsid w:val="007D0CD4"/>
    <w:rsid w:val="007D3197"/>
    <w:rsid w:val="007D331C"/>
    <w:rsid w:val="007E600F"/>
    <w:rsid w:val="00801701"/>
    <w:rsid w:val="0080328A"/>
    <w:rsid w:val="00804114"/>
    <w:rsid w:val="00826CAA"/>
    <w:rsid w:val="008336F2"/>
    <w:rsid w:val="00836037"/>
    <w:rsid w:val="008410F9"/>
    <w:rsid w:val="008415EC"/>
    <w:rsid w:val="0084493F"/>
    <w:rsid w:val="00850155"/>
    <w:rsid w:val="00851BC7"/>
    <w:rsid w:val="00852A2D"/>
    <w:rsid w:val="00853F9F"/>
    <w:rsid w:val="0085616D"/>
    <w:rsid w:val="008614A7"/>
    <w:rsid w:val="0088463A"/>
    <w:rsid w:val="008A416B"/>
    <w:rsid w:val="008B4EFB"/>
    <w:rsid w:val="008B57D1"/>
    <w:rsid w:val="008B741A"/>
    <w:rsid w:val="008E2671"/>
    <w:rsid w:val="008F16C4"/>
    <w:rsid w:val="00903CCB"/>
    <w:rsid w:val="00920862"/>
    <w:rsid w:val="0092788E"/>
    <w:rsid w:val="00962BD2"/>
    <w:rsid w:val="00965297"/>
    <w:rsid w:val="00967FB2"/>
    <w:rsid w:val="00972DC0"/>
    <w:rsid w:val="00980823"/>
    <w:rsid w:val="00983C33"/>
    <w:rsid w:val="00983C4E"/>
    <w:rsid w:val="00992306"/>
    <w:rsid w:val="00994482"/>
    <w:rsid w:val="009967C6"/>
    <w:rsid w:val="009A5495"/>
    <w:rsid w:val="009C309D"/>
    <w:rsid w:val="009C4923"/>
    <w:rsid w:val="009E28C1"/>
    <w:rsid w:val="009E4799"/>
    <w:rsid w:val="009E5203"/>
    <w:rsid w:val="009F6CF9"/>
    <w:rsid w:val="009F7458"/>
    <w:rsid w:val="00A043DB"/>
    <w:rsid w:val="00A04BD0"/>
    <w:rsid w:val="00A16CEC"/>
    <w:rsid w:val="00A17266"/>
    <w:rsid w:val="00A20693"/>
    <w:rsid w:val="00A24464"/>
    <w:rsid w:val="00A25484"/>
    <w:rsid w:val="00A314E6"/>
    <w:rsid w:val="00A33283"/>
    <w:rsid w:val="00A402EF"/>
    <w:rsid w:val="00A56DAE"/>
    <w:rsid w:val="00A60EDF"/>
    <w:rsid w:val="00A677E0"/>
    <w:rsid w:val="00A72A21"/>
    <w:rsid w:val="00A7600B"/>
    <w:rsid w:val="00A8774C"/>
    <w:rsid w:val="00A87FF0"/>
    <w:rsid w:val="00A9116A"/>
    <w:rsid w:val="00A93E6A"/>
    <w:rsid w:val="00A972DB"/>
    <w:rsid w:val="00AA425B"/>
    <w:rsid w:val="00AA7A0D"/>
    <w:rsid w:val="00AB72B2"/>
    <w:rsid w:val="00AD5DD3"/>
    <w:rsid w:val="00AE3673"/>
    <w:rsid w:val="00AE54A3"/>
    <w:rsid w:val="00AF3942"/>
    <w:rsid w:val="00AF3986"/>
    <w:rsid w:val="00B0283E"/>
    <w:rsid w:val="00B2517D"/>
    <w:rsid w:val="00B53EE7"/>
    <w:rsid w:val="00B60D01"/>
    <w:rsid w:val="00B647FA"/>
    <w:rsid w:val="00B71FCC"/>
    <w:rsid w:val="00B74B96"/>
    <w:rsid w:val="00B96BB3"/>
    <w:rsid w:val="00B97822"/>
    <w:rsid w:val="00BA52F5"/>
    <w:rsid w:val="00BB2A19"/>
    <w:rsid w:val="00BC08E1"/>
    <w:rsid w:val="00BC26DF"/>
    <w:rsid w:val="00BD3A02"/>
    <w:rsid w:val="00BE11C9"/>
    <w:rsid w:val="00BE1E7D"/>
    <w:rsid w:val="00BE3255"/>
    <w:rsid w:val="00BE5208"/>
    <w:rsid w:val="00BF3607"/>
    <w:rsid w:val="00C17F61"/>
    <w:rsid w:val="00C23277"/>
    <w:rsid w:val="00C23FB1"/>
    <w:rsid w:val="00C24538"/>
    <w:rsid w:val="00C25308"/>
    <w:rsid w:val="00C25902"/>
    <w:rsid w:val="00C32FBD"/>
    <w:rsid w:val="00C409C6"/>
    <w:rsid w:val="00C56338"/>
    <w:rsid w:val="00C57AAB"/>
    <w:rsid w:val="00C62410"/>
    <w:rsid w:val="00C762B9"/>
    <w:rsid w:val="00C834DD"/>
    <w:rsid w:val="00C96742"/>
    <w:rsid w:val="00CB3156"/>
    <w:rsid w:val="00CB69F9"/>
    <w:rsid w:val="00CC42E2"/>
    <w:rsid w:val="00CD0CAC"/>
    <w:rsid w:val="00CD1985"/>
    <w:rsid w:val="00CD622A"/>
    <w:rsid w:val="00CF170A"/>
    <w:rsid w:val="00CF410A"/>
    <w:rsid w:val="00CF5686"/>
    <w:rsid w:val="00CF6552"/>
    <w:rsid w:val="00D00039"/>
    <w:rsid w:val="00D05EDB"/>
    <w:rsid w:val="00D16253"/>
    <w:rsid w:val="00D338D9"/>
    <w:rsid w:val="00D412A3"/>
    <w:rsid w:val="00D437F3"/>
    <w:rsid w:val="00D56CF9"/>
    <w:rsid w:val="00D624EE"/>
    <w:rsid w:val="00D71C52"/>
    <w:rsid w:val="00D75C60"/>
    <w:rsid w:val="00D90F3F"/>
    <w:rsid w:val="00DA1BDD"/>
    <w:rsid w:val="00DA2547"/>
    <w:rsid w:val="00DA5C84"/>
    <w:rsid w:val="00DF2E07"/>
    <w:rsid w:val="00E02AD2"/>
    <w:rsid w:val="00E053E8"/>
    <w:rsid w:val="00E05B56"/>
    <w:rsid w:val="00E145FB"/>
    <w:rsid w:val="00E21B2E"/>
    <w:rsid w:val="00E31CB9"/>
    <w:rsid w:val="00E32AEE"/>
    <w:rsid w:val="00E43445"/>
    <w:rsid w:val="00E455A9"/>
    <w:rsid w:val="00E60970"/>
    <w:rsid w:val="00E75986"/>
    <w:rsid w:val="00E80A5E"/>
    <w:rsid w:val="00E91A24"/>
    <w:rsid w:val="00E92EEA"/>
    <w:rsid w:val="00EA434B"/>
    <w:rsid w:val="00EA4E42"/>
    <w:rsid w:val="00EB2E05"/>
    <w:rsid w:val="00EC0BD8"/>
    <w:rsid w:val="00ED00D7"/>
    <w:rsid w:val="00ED18EC"/>
    <w:rsid w:val="00EF00DA"/>
    <w:rsid w:val="00EF17A9"/>
    <w:rsid w:val="00EF3D65"/>
    <w:rsid w:val="00F00CBC"/>
    <w:rsid w:val="00F052EC"/>
    <w:rsid w:val="00F1153E"/>
    <w:rsid w:val="00F14D2E"/>
    <w:rsid w:val="00F248A6"/>
    <w:rsid w:val="00F34D9F"/>
    <w:rsid w:val="00F5053C"/>
    <w:rsid w:val="00F61D81"/>
    <w:rsid w:val="00F6432B"/>
    <w:rsid w:val="00F721F8"/>
    <w:rsid w:val="00F82694"/>
    <w:rsid w:val="00F8439E"/>
    <w:rsid w:val="00F85F25"/>
    <w:rsid w:val="00F86898"/>
    <w:rsid w:val="00F868FC"/>
    <w:rsid w:val="00F86E1F"/>
    <w:rsid w:val="00F90C8B"/>
    <w:rsid w:val="00F94D2E"/>
    <w:rsid w:val="00F9797E"/>
    <w:rsid w:val="00FB1DCA"/>
    <w:rsid w:val="00FB399D"/>
    <w:rsid w:val="00FB4E83"/>
    <w:rsid w:val="00FE4FE4"/>
    <w:rsid w:val="00FE72D9"/>
    <w:rsid w:val="00FF48D4"/>
    <w:rsid w:val="03631D1E"/>
    <w:rsid w:val="03731FB8"/>
    <w:rsid w:val="040C55B7"/>
    <w:rsid w:val="04460E6B"/>
    <w:rsid w:val="045B0C31"/>
    <w:rsid w:val="06A52D74"/>
    <w:rsid w:val="072004C0"/>
    <w:rsid w:val="086F3CB6"/>
    <w:rsid w:val="087C2328"/>
    <w:rsid w:val="08DD3C99"/>
    <w:rsid w:val="099B5350"/>
    <w:rsid w:val="09AB55EB"/>
    <w:rsid w:val="0A36774D"/>
    <w:rsid w:val="0A6B3815"/>
    <w:rsid w:val="0B5B1AAE"/>
    <w:rsid w:val="0BEF4520"/>
    <w:rsid w:val="0C38373E"/>
    <w:rsid w:val="0C86379A"/>
    <w:rsid w:val="0D9A7DDF"/>
    <w:rsid w:val="0DBE4B1B"/>
    <w:rsid w:val="0F603EC7"/>
    <w:rsid w:val="0F634E4C"/>
    <w:rsid w:val="0FFA00C0"/>
    <w:rsid w:val="134B5AB7"/>
    <w:rsid w:val="14DB47EB"/>
    <w:rsid w:val="16237E06"/>
    <w:rsid w:val="18900B90"/>
    <w:rsid w:val="18985C69"/>
    <w:rsid w:val="18D13844"/>
    <w:rsid w:val="19A2611B"/>
    <w:rsid w:val="1A6E456A"/>
    <w:rsid w:val="1B882320"/>
    <w:rsid w:val="1BBA1906"/>
    <w:rsid w:val="1C645092"/>
    <w:rsid w:val="20BD3045"/>
    <w:rsid w:val="20DA44C0"/>
    <w:rsid w:val="22746E93"/>
    <w:rsid w:val="24682EE1"/>
    <w:rsid w:val="24DD6008"/>
    <w:rsid w:val="24DF150B"/>
    <w:rsid w:val="25357D1C"/>
    <w:rsid w:val="260152F9"/>
    <w:rsid w:val="264B61DF"/>
    <w:rsid w:val="268179A2"/>
    <w:rsid w:val="26DF1B78"/>
    <w:rsid w:val="277C7BD6"/>
    <w:rsid w:val="2892130B"/>
    <w:rsid w:val="29847FAB"/>
    <w:rsid w:val="2A2B1A3D"/>
    <w:rsid w:val="2BA848EF"/>
    <w:rsid w:val="2C33078A"/>
    <w:rsid w:val="2C8A2821"/>
    <w:rsid w:val="2CD831E3"/>
    <w:rsid w:val="2E322C13"/>
    <w:rsid w:val="2E866DE4"/>
    <w:rsid w:val="2EAA029D"/>
    <w:rsid w:val="2EE12975"/>
    <w:rsid w:val="2F106B71"/>
    <w:rsid w:val="306D597F"/>
    <w:rsid w:val="30D07C22"/>
    <w:rsid w:val="311E072B"/>
    <w:rsid w:val="31C970ED"/>
    <w:rsid w:val="32812E6C"/>
    <w:rsid w:val="32AB622F"/>
    <w:rsid w:val="337A0571"/>
    <w:rsid w:val="33E47230"/>
    <w:rsid w:val="34C70B28"/>
    <w:rsid w:val="352F17D1"/>
    <w:rsid w:val="369F3F6B"/>
    <w:rsid w:val="36E3431A"/>
    <w:rsid w:val="373F11B0"/>
    <w:rsid w:val="378A5DAD"/>
    <w:rsid w:val="37E97744"/>
    <w:rsid w:val="382A173D"/>
    <w:rsid w:val="38635A90"/>
    <w:rsid w:val="38C03C2B"/>
    <w:rsid w:val="3B15087C"/>
    <w:rsid w:val="3BCE5AAC"/>
    <w:rsid w:val="3F934EDE"/>
    <w:rsid w:val="41D81894"/>
    <w:rsid w:val="41D9434D"/>
    <w:rsid w:val="42F07BB5"/>
    <w:rsid w:val="4488337C"/>
    <w:rsid w:val="44DA6A6B"/>
    <w:rsid w:val="47AC0A26"/>
    <w:rsid w:val="48371F1C"/>
    <w:rsid w:val="48EA5EAF"/>
    <w:rsid w:val="492E25DF"/>
    <w:rsid w:val="49F84AAA"/>
    <w:rsid w:val="4B955A8D"/>
    <w:rsid w:val="4B9A271C"/>
    <w:rsid w:val="4C25148C"/>
    <w:rsid w:val="4F602DC2"/>
    <w:rsid w:val="50A306D9"/>
    <w:rsid w:val="51486B78"/>
    <w:rsid w:val="523F09E9"/>
    <w:rsid w:val="524D0715"/>
    <w:rsid w:val="52686F7B"/>
    <w:rsid w:val="53273C7B"/>
    <w:rsid w:val="53581ECC"/>
    <w:rsid w:val="538B016B"/>
    <w:rsid w:val="544B2759"/>
    <w:rsid w:val="548B3542"/>
    <w:rsid w:val="55AD6B1D"/>
    <w:rsid w:val="569D3053"/>
    <w:rsid w:val="58DF56DB"/>
    <w:rsid w:val="5A1F18EA"/>
    <w:rsid w:val="5AE31628"/>
    <w:rsid w:val="5BC24519"/>
    <w:rsid w:val="5F9F1338"/>
    <w:rsid w:val="60FD0F2E"/>
    <w:rsid w:val="61164056"/>
    <w:rsid w:val="61445E1F"/>
    <w:rsid w:val="62E977D4"/>
    <w:rsid w:val="64243CD9"/>
    <w:rsid w:val="652006F9"/>
    <w:rsid w:val="65457E34"/>
    <w:rsid w:val="667E4DB2"/>
    <w:rsid w:val="66D91C48"/>
    <w:rsid w:val="66E128D8"/>
    <w:rsid w:val="67395453"/>
    <w:rsid w:val="67E50E81"/>
    <w:rsid w:val="687A7176"/>
    <w:rsid w:val="69B55E40"/>
    <w:rsid w:val="6A3B6DD7"/>
    <w:rsid w:val="6A68311E"/>
    <w:rsid w:val="6D064CEC"/>
    <w:rsid w:val="6D3909BE"/>
    <w:rsid w:val="6DCE42DC"/>
    <w:rsid w:val="6EBB0EBA"/>
    <w:rsid w:val="714040DC"/>
    <w:rsid w:val="736A2467"/>
    <w:rsid w:val="743453B3"/>
    <w:rsid w:val="748E25CA"/>
    <w:rsid w:val="75E21BF7"/>
    <w:rsid w:val="76233171"/>
    <w:rsid w:val="76C105D5"/>
    <w:rsid w:val="77181C73"/>
    <w:rsid w:val="78FC3930"/>
    <w:rsid w:val="79291653"/>
    <w:rsid w:val="7AA30EC0"/>
    <w:rsid w:val="7B324409"/>
    <w:rsid w:val="7B62387C"/>
    <w:rsid w:val="7CB06235"/>
    <w:rsid w:val="7CF2462A"/>
    <w:rsid w:val="7D630A43"/>
    <w:rsid w:val="7E46233B"/>
    <w:rsid w:val="7E6A6E51"/>
    <w:rsid w:val="7E6E39D4"/>
    <w:rsid w:val="7E7A7ED8"/>
    <w:rsid w:val="7EC16401"/>
    <w:rsid w:val="7ED60925"/>
    <w:rsid w:val="7FA8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8"/>
    <w:semiHidden/>
    <w:unhideWhenUsed/>
    <w:qFormat/>
    <w:uiPriority w:val="99"/>
    <w:rPr>
      <w:rFonts w:ascii="宋体"/>
      <w:sz w:val="18"/>
      <w:szCs w:val="18"/>
    </w:rPr>
  </w:style>
  <w:style w:type="paragraph" w:styleId="6">
    <w:name w:val="annotation text"/>
    <w:basedOn w:val="1"/>
    <w:link w:val="26"/>
    <w:unhideWhenUsed/>
    <w:qFormat/>
    <w:uiPriority w:val="99"/>
    <w:pPr>
      <w:jc w:val="left"/>
    </w:pPr>
  </w:style>
  <w:style w:type="paragraph" w:styleId="7">
    <w:name w:val="Balloon Text"/>
    <w:basedOn w:val="1"/>
    <w:link w:val="24"/>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9"/>
    <w:qFormat/>
    <w:uiPriority w:val="10"/>
    <w:pPr>
      <w:spacing w:before="240" w:after="60"/>
      <w:jc w:val="center"/>
      <w:outlineLvl w:val="0"/>
    </w:pPr>
    <w:rPr>
      <w:rFonts w:asciiTheme="majorHAnsi" w:hAnsiTheme="majorHAnsi" w:cstheme="majorBidi"/>
      <w:b/>
      <w:bCs/>
      <w:sz w:val="32"/>
      <w:szCs w:val="32"/>
    </w:rPr>
  </w:style>
  <w:style w:type="paragraph" w:styleId="11">
    <w:name w:val="annotation subject"/>
    <w:basedOn w:val="6"/>
    <w:next w:val="6"/>
    <w:link w:val="27"/>
    <w:semiHidden/>
    <w:unhideWhenUsed/>
    <w:qFormat/>
    <w:uiPriority w:val="99"/>
    <w:rPr>
      <w:b/>
      <w:bCs/>
    </w:rPr>
  </w:style>
  <w:style w:type="character" w:styleId="14">
    <w:name w:val="Strong"/>
    <w:basedOn w:val="13"/>
    <w:qFormat/>
    <w:uiPriority w:val="0"/>
    <w:rPr>
      <w:b/>
      <w:bCs/>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character" w:customStyle="1" w:styleId="18">
    <w:name w:val="文档结构图 字符"/>
    <w:basedOn w:val="13"/>
    <w:link w:val="5"/>
    <w:semiHidden/>
    <w:qFormat/>
    <w:uiPriority w:val="99"/>
    <w:rPr>
      <w:rFonts w:ascii="宋体" w:hAnsi="Times New Roman" w:eastAsia="宋体" w:cs="Times New Roman"/>
      <w:sz w:val="18"/>
      <w:szCs w:val="18"/>
    </w:rPr>
  </w:style>
  <w:style w:type="character" w:customStyle="1" w:styleId="19">
    <w:name w:val="标题 字符"/>
    <w:basedOn w:val="13"/>
    <w:link w:val="10"/>
    <w:qFormat/>
    <w:uiPriority w:val="10"/>
    <w:rPr>
      <w:rFonts w:eastAsia="宋体" w:asciiTheme="majorHAnsi" w:hAnsiTheme="majorHAnsi" w:cstheme="majorBidi"/>
      <w:b/>
      <w:bCs/>
      <w:sz w:val="32"/>
      <w:szCs w:val="32"/>
    </w:rPr>
  </w:style>
  <w:style w:type="character" w:customStyle="1" w:styleId="20">
    <w:name w:val="标题 2 字符"/>
    <w:basedOn w:val="13"/>
    <w:link w:val="2"/>
    <w:qFormat/>
    <w:uiPriority w:val="9"/>
    <w:rPr>
      <w:rFonts w:asciiTheme="majorHAnsi" w:hAnsiTheme="majorHAnsi" w:eastAsiaTheme="majorEastAsia" w:cstheme="majorBidi"/>
      <w:b/>
      <w:bCs/>
      <w:sz w:val="32"/>
      <w:szCs w:val="32"/>
    </w:rPr>
  </w:style>
  <w:style w:type="character" w:customStyle="1" w:styleId="21">
    <w:name w:val="标题 3 字符"/>
    <w:basedOn w:val="13"/>
    <w:link w:val="3"/>
    <w:qFormat/>
    <w:uiPriority w:val="9"/>
    <w:rPr>
      <w:rFonts w:ascii="Times New Roman" w:hAnsi="Times New Roman" w:eastAsia="宋体" w:cs="Times New Roman"/>
      <w:b/>
      <w:bCs/>
      <w:sz w:val="32"/>
      <w:szCs w:val="32"/>
    </w:rPr>
  </w:style>
  <w:style w:type="character" w:customStyle="1" w:styleId="22">
    <w:name w:val="标题 4 字符"/>
    <w:basedOn w:val="13"/>
    <w:link w:val="4"/>
    <w:qFormat/>
    <w:uiPriority w:val="9"/>
    <w:rPr>
      <w:rFonts w:asciiTheme="majorHAnsi" w:hAnsiTheme="majorHAnsi" w:eastAsiaTheme="majorEastAsia" w:cstheme="majorBidi"/>
      <w:b/>
      <w:bCs/>
      <w:sz w:val="28"/>
      <w:szCs w:val="28"/>
    </w:rPr>
  </w:style>
  <w:style w:type="paragraph" w:styleId="23">
    <w:name w:val="List Paragraph"/>
    <w:basedOn w:val="1"/>
    <w:qFormat/>
    <w:uiPriority w:val="34"/>
    <w:pPr>
      <w:ind w:firstLine="420" w:firstLineChars="200"/>
    </w:pPr>
  </w:style>
  <w:style w:type="character" w:customStyle="1" w:styleId="24">
    <w:name w:val="批注框文本 字符"/>
    <w:basedOn w:val="13"/>
    <w:link w:val="7"/>
    <w:semiHidden/>
    <w:qFormat/>
    <w:uiPriority w:val="99"/>
    <w:rPr>
      <w:rFonts w:ascii="Times New Roman" w:hAnsi="Times New Roman" w:eastAsia="宋体" w:cs="Times New Roman"/>
      <w:sz w:val="18"/>
      <w:szCs w:val="18"/>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批注文字 字符"/>
    <w:basedOn w:val="13"/>
    <w:link w:val="6"/>
    <w:qFormat/>
    <w:uiPriority w:val="99"/>
    <w:rPr>
      <w:rFonts w:ascii="Times New Roman" w:hAnsi="Times New Roman" w:eastAsia="宋体" w:cs="Times New Roman"/>
      <w:szCs w:val="24"/>
    </w:rPr>
  </w:style>
  <w:style w:type="character" w:customStyle="1" w:styleId="27">
    <w:name w:val="批注主题 字符"/>
    <w:basedOn w:val="26"/>
    <w:link w:val="11"/>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E65AD-A9D5-40B2-9057-50E1A8027BB3}">
  <ds:schemaRefs/>
</ds:datastoreItem>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12</Pages>
  <Words>1655</Words>
  <Characters>9436</Characters>
  <Lines>78</Lines>
  <Paragraphs>22</Paragraphs>
  <TotalTime>43</TotalTime>
  <ScaleCrop>false</ScaleCrop>
  <LinksUpToDate>false</LinksUpToDate>
  <CharactersWithSpaces>11069</CharactersWithSpaces>
  <Application>WPS Office_12.8.2.20793_F1E327BC-269C-435d-A152-05C5408002CA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2025-01-10T07:38:00Z</dcterms:created>
  <dc:creator>pingan</dc:creator>
  <cp:lastModifiedBy>EX-XUGUOYOU930</cp:lastModifiedBy>
  <dcterms:modified xsi:type="dcterms:W3CDTF">2025-06-11T06:39:07Z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2052-12.8.2.20793</vt:lpwstr>
  </property>
  <property fmtid="{D5CDD505-2E9C-101B-9397-08002B2CF9AE}" pid="3" name="ICV">
    <vt:lpwstr>982315C83EE04FBF932E8FFB35A16AAC_13</vt:lpwstr>
  </property>
</Properties>
</file>