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63" w:rsidRPr="00E56463" w:rsidRDefault="00E56463" w:rsidP="00E56463">
      <w:pPr>
        <w:widowControl/>
        <w:shd w:val="clear" w:color="auto" w:fill="FFFFFF"/>
        <w:spacing w:line="450" w:lineRule="atLeast"/>
        <w:jc w:val="center"/>
        <w:rPr>
          <w:rFonts w:ascii="宋体" w:eastAsia="宋体" w:hAnsi="宋体" w:cs="Helvetica"/>
          <w:color w:val="333333"/>
          <w:kern w:val="0"/>
          <w:szCs w:val="21"/>
        </w:rPr>
      </w:pPr>
      <w:r w:rsidRPr="00E56463">
        <w:rPr>
          <w:rFonts w:ascii="宋体" w:eastAsia="宋体" w:hAnsi="宋体" w:cs="Helvetica" w:hint="eastAsia"/>
          <w:b/>
          <w:bCs/>
          <w:color w:val="000080"/>
          <w:kern w:val="0"/>
          <w:szCs w:val="21"/>
        </w:rPr>
        <w:t>互联网金融从业机构反洗钱和反恐怖融资管理办法（试行）</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第一条 为了预防洗钱和恐怖融资活动，规范互联网金融行业反洗钱和反恐怖融资工作，根据《中华人民共和国中国人民银行法》、《中华人民共和国反洗钱法》、《中华人民共和国反恐怖主义法》、《国务院办公厅关于印发互联网金融风险专项整治工作实施方案的通知》（国办发〔2016〕21号）、《中国人民银行 工业和信息化部 公安部 财政部 工商总局 法制办 银监会 证监会 保监会 国家互联网信息办公室关于促进互联网金融健康发展的指导意见》（银发〔2015〕221号）等规定，制定本办法。</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第二条 本办法适用于在中华人民共和国境内经有权部门批准或者备案设立的，依法经营互联网金融业务的机构（以下简称从业机构）。</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互联网金融是利用互联网技术和信息通信技术实现资金融通、支付、投资及信息中介服务的新型金融业务模式。互联网金融业务反洗钱和反恐怖融资工作的具体范围由中国人民银行会同国务院有关金融监督管理机构按照法律规定和监管政策确定、调整并公布，包括但不限于网络支付、网络借贷、网络借贷信息中介、股权众筹融资、互联网基金销售、互联网保险、互联网信托和互联网消费金融等。</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金融机构和非银行支付机构开展互联网金融业务的，应当执行本办法的规定；中国人民银行、国务院有关金融监督管理机构另有规定的，从其规定。</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第三条 中国人民银行是国务院反洗钱行政主管部门，对从业机构依法履行反洗钱和反恐怖融资监督管理职责。国务院有关金融监督管理机构在职责范围内配合中国人民银行履行反洗钱和反恐怖融资监督管理职责。中国人民银行制定或者会同国务院有关金融监督管理机构制定从业机构履行反洗钱和反恐怖融资义务的规章制度。</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中国人民银行设立的中国反洗钱监测分析中心，负责从业机构大额交易和可疑交易报告的接收、分析和保存，并按照规定向中国人民银行报告分析结果，履行中国人民银行规定的其他职责。</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第四条 中国互联网金融协会按照中国人民银行、国务院有关金融监督管理机构关于从业机构履行反洗钱和反恐怖融资义务的规定，协调其他行业自律组织，制定并发布各类从业机构执行本办法所适用的行业规则；配合中国人民银行及其分支机构开展线上和线下反洗钱相关工作，开展洗钱和恐怖融资风险评估，发布风险评估报告和风险提示信息；组织推动各类从业机构制定并实施反洗钱和反恐怖融资方面的自律公约。</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其他行业自律组织按照中国人民银行、国务院有关金融监督管理机构的规定对从业机构提出建立健全反洗钱内控制度的要求，配合中国互联网金融协会推动从业机构之间的业务交流和信息共享。</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lastRenderedPageBreak/>
        <w:t>    第五条 中国人民银行设立互联网金融反洗钱和反恐怖融资网络监测平台（以下简称网络监测平台），使用网络监测平台完善线上反洗钱监管机制、加强信息共享。</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中国互联网金融协会按照中国人民银行和国务院有关金融监督管理机构的要求建设、运行和维护网络监测平台，确保网络监测平台及相关信息、数据和资料的安全、保密、完整。</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中国人民银行分支机构、中国反洗钱监测分析中心在职责范围内使用网络监测平台。</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第六条 金融机构、非银行支付机构以外的其他从业机构应当通过网络监测平台进行反洗钱和反恐怖融资履职登记。</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金融机构和非银行支付机构根据反洗钱工作需要接入网络监测平台，参与基于该平台的工作信息交流、技术设施共享、风险评估等工作。</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第七条 从业机构应当遵循风险为本方法，根据法律法规和行业规则，建立健全反洗钱和反恐怖融资内部控制制度，强化反洗钱和反恐怖融资合规管理，完善相关风险管理机制。</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从业机构应当建立统一的反洗钱和反恐怖融资合规管理政策，对其境内外附属机构、分支机构、事业部的反洗钱和反恐怖融资工作实施统一管理。</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从业机构应当按规定方式向中国人民银行及其分支机构、国务院有关金融监督管理机构及其派出机构报备反洗钱和反恐怖融资内部控制制度。</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第八条 从业机构应当明确机构董事、高级管理层及部门管理人员的反洗钱和反恐怖融资职责。从业机构的负责人应当对反洗钱和反恐怖融资内部控制制度的有效实施负责。</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从业机构应当设立专门部门或者指定内设部门牵头负责反洗钱和反恐怖融资管理工作。各业务条线（部门）应当承担反洗钱和反恐怖融资工作的直接责任，并指定人员负责反洗钱和反恐怖融资工作。从业机构应当确保反洗钱和反恐怖融资管理部门及反洗钱和反恐怖融资工作人员具备有效履职所需的授权、资源和独立性。</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第九条 从业机构及其员工对依法履行反洗钱和反恐怖融资义务获得的客户身份资料和交易信息应当予以保密。非依法律规定，不得向任何单位和个人提供。</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从业机构及其员工应当对报告可疑交易、配合中国人民银行及其分支机构开展反洗钱调查等有关反洗钱和反恐怖融资工作信息予以保密，不得违反规定向任何单位和个人提供。</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第十条 从业机构应当勤勉尽责，执行客户身份识别制度，遵循“了解你的客户”原则，针对具有不同洗钱或者恐怖融资风险特征的客户、业务关系或者交易采取合理措施，了解建立业务关系的目的和意图，了解非自然人客户的受益所有人情况，了解自然人客户的交易是否为本人操作和交易的实际受益人。</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lastRenderedPageBreak/>
        <w:t>    从业机构应当按照法律法规、规章、规范性文件和行业规则，收集必备要素信息，利用从可靠途径、以可靠方式获取的信息或数据，采取合理措施识别、核验客户真实身份，确定并适时调整客户风险等级。对于先前获得的客户身份资料存疑的，应当重新识别客户身份。</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从业机构应当采取持续的客户身份识别措施，审核客户身份资料和交易记录，及时更新客户身份识别相关的证明文件、数据和信息，确保客户正在进行的交易与从业机构所掌握的客户资料、客户业务、风险状况等匹配。对于高风险客户，从业机构应当采取合理措施了解其资金来源，提高审核频率。</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除本办法和行业规则规定的必备要素信息外，从业机构应当在法律法规、规章、规范性文件允许的范围内收集其他相关信息、数据和资料，合理运用技术手段和理论方法进行分析，核验客户真实身份。</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客户属于外国政要、国际组织的高级管理人员及其特定关系人的，从业机构应当采取更为严格的客户身份识别措施。</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从业机构不得为身份不明或者拒绝身份查验的客户提供服务或者与其进行交易，不得为客户开立匿名账户或者假名账户， 不得与明显具有非法目的的客户建立业务关系。</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第十一条 从业机构应当定期或者在业务模式、交易方式发生重大变化、拓展新的业务领域、洗钱和恐怖融资风险状况发生较大变化时，评估客户身份识别措施的有效性，并及时予以完善。</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第十二条 从业机构在与客户建立业务关系或者开展法律法规、规章、规范性文件和行业规则规定的特定类型交易时，应当履行以下客户身份识别程序：</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（一）了解并采取合理措施获取客户与其建立业务关系或者进行交易的目的和意图。</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二）核对客户有效身份证件或者其他身份证明文件，或者按照法律法规、规章、规范性文件和行业规则要求客户提供资料并通过合法、安全、可信的渠道取得客户身份确认信息，识别客户、账户持有人及交易操作人员的身份。</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三）按照法律法规、规章、规范性文件和行业规则通过合法、安全且信息来源独立的外部渠道验证客户、账户持有人及交易操作人员的身份信息，并确保外部渠道反馈的验证信息与被验证信息之间具有一致性和唯一对应性。</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（四）按照法律法规、规章、规范性文件和行业规则登记并保存客户、账户持有人及交易操作人员的身份基本信息。</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（五）按照法律法规、规章、规范性文件和行业规则保存客户有效身份证件或者其他身份证明文件的影印件或者复印件，或者渠道反馈的客户身份确认信息。</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lastRenderedPageBreak/>
        <w:t>    第十三条 从业机构应当提示客户如实披露他人代办业务或者员工经办业务的情况，确认代理关系或者授权经办业务指令的真实性，并按照本办法第十二条的有关要求对代理人和业务经办人采取客户身份识别措施。</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第十四条 从业机构应当执行大额交易和可疑交易报告制度，制定报告操作规程，对本机构的大额交易和可疑交易报告工作做出统一要求。金融机构、非银行支付机构以外的其他从业机构应当由总部或者总部指定的一个机构通过网络监测平台提交全公司的大额交易和可疑交易报告。</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中国反洗钱监测分析中心发现从业机构报送的大额交易报告或者可疑交易报告内容要素不全或者存在错误的，可以向提交报告的从业机构发出补正通知，从业机构应当在接到补正通知之日起5个工作日内补正。</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大额交易和可疑交易报告的要素内容、报告格式和填写要求等由中国人民银行另行规定。</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第十五条 从业机构应当建立健全大额交易和可疑交易监测系统，以客户为基本单位开展资金交易的监测分析，对客户及其所有业务、交易及其过程开展监测和分析。</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第十六条 客户当日单笔或者累计交易人民币5万元以上（含5万元）、外币等值1万美元以上（含1万美元）的现金收支，金融机构、非银行支付机构以外的从业机构应当在交易发生后的5个工作日内提交大额交易报告。</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中国人民银行根据需要调整大额交易报告标准。非银行支付机构提交大额交易报告的具体要求由中国人民银行另行规定。</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第十七条 从业机构发现或者有合理理由怀疑客户及其行为、客户的资金或者其他资产、客户的交易或者试图进行的交易与洗钱、恐怖融资等犯罪活动相关的，不论所涉资金金额或者资产价值大小，应当按本机构可疑交易报告内部操作规程确认为可疑交易后，及时提交可疑交易报告。</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第十八条 从业机构应当按照中国人民银行、国务院有关金融监督管理机构的要求和行业规则，建立交易监测标准和客户行为监测方案，定期或者在发生特定风险时评估交易监测标准和客户行为监测方案的有效性，并及时予以完善。</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从业机构应当按照法律法规、规章、规范性文件和行业规则，结合对相关联的客户、账户持有人、交易操作人员的身份识别情况，对通过交易监测标准筛选出的交易进行分析判断，记录分析过程；不作为可疑交易报告的，应当记录分析排除的合理理由；确认为可疑交易的，应当在可疑交易报告理由中完整记录对客户身份特征、交易特征或者行为特征的分析过程。</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lastRenderedPageBreak/>
        <w:t>    第十九条 从业机构应当对下列恐怖组织和恐怖活动人员名单开展实时监测，有合理理由怀疑客户或者其交易对手、资金或者其他资产与名单相关的，应当立即提交可疑交易报告，并依法对相关资金或者其他资产采取冻结措施：</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（一）中国政府发布的或者承认执行的恐怖活动组织及恐怖活动人员名单。</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（二）联合国安理会决议中所列的恐怖活动组织及恐怖活动人员名单。</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（三）中国人民银行及国务院有关金融监督管理机构要求关注的其他涉嫌恐怖活动的组织及人员名单。</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对于新发布或者新调整的名单，从业机构应当立即开展回溯性调查，按照本条第一款规定提交可疑交易报告。对于中国人民银行或者其他有权部门要求纳入反洗钱、反恐怖融资监控体系的名单，从业机构应当参照本办法相关规定执行。</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法律法规、规章和中国人民银行对上述名单的监控另有规定的，从其规定。</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第二十条 从业机构应当按照法律法规和行业规则规定的保存范围、保存期限、技术标准，妥善保存开展客户身份识别、交易监测分析、大额交易报告和可疑交易报告等反洗钱和反恐怖融资工作所产生的信息、数据和资料，确保能够完整重现每笔交易，确保相关工作可追溯。</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从业机构终止业务活动时，应当按照相关行业主管部门及中国人民银行要求处理前款所述信息、数据和资料。</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第二十一条 从业机构应当依法接受中国人民银行及其分支机构的反洗钱和反恐怖融资的现场检查、非现场监管和反洗钱调查，按照中国人民银行及其分支机构的要求提供相关信息、数据和资料，对所提供的信息、数据和资料的真实性、准确性、完整性负责，不得拒绝、阻挠、逃避监督检查和反洗钱调查，不得谎报、隐匿、销毁相关信息、数据和资料。金融机构、非银行支付机构以外的其他从业机构通过网络监测平台向中国人民银行报送反洗钱和反恐怖融资报告、报表及相关信息、数据和资料。</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从业机构应当依法配合国务院有关金融监督管理机构及其派出机构的监督管理。</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第二十二条 从业机构违反本办法的，由中国人民银行及其分支机构、国务院有关金融监督管理机构及其派出机构责令限期整改，依法予以处罚。</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从业机构违反相关法律、行政法规、规章以及本办法规定，涉嫌犯罪的，移送司法机关依法追究刑事责任。</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第二十三条 本办法相关用语含义如下：</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中国人民银行分支机构，包括中国人民银行上海总部、分行、营业管理部、省会（首府）城市中心支行、副省级城市中心支行。</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lastRenderedPageBreak/>
        <w:t>    金融机构是指依法设立的从事金融业务的政策性银行、商业银行、农村合作银行、农村信用社、村镇银行、证券公司、期货公司、基金管理公司、保险公司、保险资产管理公司、保险专业代理公司、保险经纪公司、信托公司、金融资产管理公司、企业集团财务公司、金融租赁公司、汽车金融公司、消费金融公司、货币经纪公司、贷款公司以及中国人民银行确定并公布的从事金融业务的其他机构。</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非银行支付机构是指依法取得《支付业务许可证》，获准办理互联网支付、移动电话支付、固定电话支付、数字电视支付等网络支付业务的非银行机构。</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行业规则是指由中国互联网金融协会协调其他行业自律组织，根据风险防控需要和业务发展状况，组织从业机构制定或调整，报中国人民银行、国务院有关金融监督管理机构批准后公布施行的反洗钱和反恐怖融资工作规则及相关业务、技术标准。</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第二十四条 本办法由中国人民银行会同国务院有关金融监督管理机构负责解释。</w:t>
      </w:r>
    </w:p>
    <w:p w:rsidR="00E56463" w:rsidRPr="00E56463" w:rsidRDefault="00E56463" w:rsidP="00E56463">
      <w:pPr>
        <w:widowControl/>
        <w:shd w:val="clear" w:color="auto" w:fill="FFFFFF"/>
        <w:spacing w:line="450" w:lineRule="atLeast"/>
        <w:jc w:val="left"/>
        <w:rPr>
          <w:rFonts w:ascii="宋体" w:eastAsia="宋体" w:hAnsi="宋体" w:cs="Helvetica" w:hint="eastAsia"/>
          <w:color w:val="333333"/>
          <w:kern w:val="0"/>
          <w:szCs w:val="21"/>
        </w:rPr>
      </w:pPr>
      <w:r w:rsidRPr="00E56463">
        <w:rPr>
          <w:rFonts w:ascii="宋体" w:eastAsia="宋体" w:hAnsi="宋体" w:cs="Helvetica" w:hint="eastAsia"/>
          <w:color w:val="333333"/>
          <w:kern w:val="0"/>
          <w:szCs w:val="21"/>
        </w:rPr>
        <w:t>    第二十五条 本办法自2019年1月1日起施行。</w:t>
      </w:r>
    </w:p>
    <w:p w:rsidR="002A682C" w:rsidRDefault="002A682C">
      <w:pPr>
        <w:rPr>
          <w:rFonts w:hint="eastAsia"/>
        </w:rPr>
      </w:pPr>
      <w:bookmarkStart w:id="0" w:name="_GoBack"/>
      <w:bookmarkEnd w:id="0"/>
    </w:p>
    <w:sectPr w:rsidR="002A68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C0"/>
    <w:rsid w:val="001E21C0"/>
    <w:rsid w:val="002A682C"/>
    <w:rsid w:val="00E56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64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6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48436">
      <w:bodyDiv w:val="1"/>
      <w:marLeft w:val="0"/>
      <w:marRight w:val="0"/>
      <w:marTop w:val="0"/>
      <w:marBottom w:val="0"/>
      <w:divBdr>
        <w:top w:val="none" w:sz="0" w:space="0" w:color="auto"/>
        <w:left w:val="none" w:sz="0" w:space="0" w:color="auto"/>
        <w:bottom w:val="none" w:sz="0" w:space="0" w:color="auto"/>
        <w:right w:val="none" w:sz="0" w:space="0" w:color="auto"/>
      </w:divBdr>
      <w:divsChild>
        <w:div w:id="1813978456">
          <w:marLeft w:val="0"/>
          <w:marRight w:val="0"/>
          <w:marTop w:val="0"/>
          <w:marBottom w:val="0"/>
          <w:divBdr>
            <w:top w:val="none" w:sz="0" w:space="0" w:color="auto"/>
            <w:left w:val="none" w:sz="0" w:space="0" w:color="auto"/>
            <w:bottom w:val="none" w:sz="0" w:space="0" w:color="auto"/>
            <w:right w:val="none" w:sz="0" w:space="0" w:color="auto"/>
          </w:divBdr>
          <w:divsChild>
            <w:div w:id="17380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844</Words>
  <Characters>4816</Characters>
  <Application>Microsoft Office Word</Application>
  <DocSecurity>0</DocSecurity>
  <Lines>40</Lines>
  <Paragraphs>11</Paragraphs>
  <ScaleCrop>false</ScaleCrop>
  <Company>中国平安保险(集团)股份有限公司</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2019-12-13T08:31:00Z</dcterms:created>
  <dcterms:modified xsi:type="dcterms:W3CDTF">2019-12-13T08:32:00Z</dcterms:modified>
</cp:coreProperties>
</file>