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2630"/>
        <w:gridCol w:w="7"/>
        <w:gridCol w:w="5603"/>
      </w:tblGrid>
      <w:tr w:rsidR="000223C4" w:rsidTr="000223C4">
        <w:trPr>
          <w:trHeight w:val="735"/>
        </w:trPr>
        <w:tc>
          <w:tcPr>
            <w:tcW w:w="8240" w:type="dxa"/>
            <w:gridSpan w:val="3"/>
            <w:tcBorders>
              <w:top w:val="nil"/>
              <w:left w:val="nil"/>
              <w:bottom w:val="nil"/>
              <w:right w:val="nil"/>
            </w:tcBorders>
            <w:shd w:val="clear" w:color="auto" w:fill="auto"/>
            <w:vAlign w:val="center"/>
            <w:hideMark/>
          </w:tcPr>
          <w:p w:rsidR="000223C4" w:rsidRDefault="000223C4">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平安财富-双周添利（滚动）现金管理类2011年300期人民币理财产品说明书</w:t>
            </w:r>
          </w:p>
        </w:tc>
      </w:tr>
      <w:tr w:rsidR="000223C4" w:rsidTr="000223C4">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223C4" w:rsidRDefault="000223C4">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0223C4" w:rsidTr="000223C4">
        <w:trPr>
          <w:trHeight w:val="285"/>
        </w:trPr>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r>
      <w:tr w:rsidR="000223C4" w:rsidTr="000223C4">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23C4" w:rsidRDefault="000223C4">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223C4" w:rsidRDefault="000223C4">
            <w:pPr>
              <w:rPr>
                <w:rFonts w:ascii="宋体" w:eastAsia="宋体" w:hAnsi="宋体" w:cs="宋体"/>
                <w:b/>
                <w:bCs/>
                <w:color w:val="000000"/>
                <w:sz w:val="22"/>
              </w:rPr>
            </w:pPr>
            <w:r>
              <w:rPr>
                <w:rFonts w:hint="eastAsia"/>
                <w:b/>
                <w:bCs/>
                <w:color w:val="000000"/>
                <w:sz w:val="22"/>
              </w:rPr>
              <w:t>平安财富</w:t>
            </w:r>
            <w:r>
              <w:rPr>
                <w:rFonts w:hint="eastAsia"/>
                <w:b/>
                <w:bCs/>
                <w:color w:val="000000"/>
                <w:sz w:val="22"/>
              </w:rPr>
              <w:t>-</w:t>
            </w:r>
            <w:r>
              <w:rPr>
                <w:rFonts w:hint="eastAsia"/>
                <w:b/>
                <w:bCs/>
                <w:color w:val="000000"/>
                <w:sz w:val="22"/>
              </w:rPr>
              <w:t>双周添利（滚动）现金管理类</w:t>
            </w:r>
            <w:r>
              <w:rPr>
                <w:rFonts w:hint="eastAsia"/>
                <w:b/>
                <w:bCs/>
                <w:color w:val="000000"/>
                <w:sz w:val="22"/>
              </w:rPr>
              <w:t>2011</w:t>
            </w:r>
            <w:r>
              <w:rPr>
                <w:rFonts w:hint="eastAsia"/>
                <w:b/>
                <w:bCs/>
                <w:color w:val="000000"/>
                <w:sz w:val="22"/>
              </w:rPr>
              <w:t>年</w:t>
            </w:r>
            <w:r>
              <w:rPr>
                <w:rFonts w:hint="eastAsia"/>
                <w:b/>
                <w:bCs/>
                <w:color w:val="000000"/>
                <w:sz w:val="22"/>
              </w:rPr>
              <w:t>300</w:t>
            </w:r>
            <w:r>
              <w:rPr>
                <w:rFonts w:hint="eastAsia"/>
                <w:b/>
                <w:bCs/>
                <w:color w:val="000000"/>
                <w:sz w:val="22"/>
              </w:rPr>
              <w:t>期人民币理财产品</w:t>
            </w:r>
          </w:p>
        </w:tc>
      </w:tr>
      <w:tr w:rsidR="000223C4" w:rsidTr="000223C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223C4" w:rsidRDefault="000223C4">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“二级”低风险</w:t>
            </w:r>
          </w:p>
        </w:tc>
      </w:tr>
      <w:tr w:rsidR="000223C4" w:rsidTr="000223C4">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223C4" w:rsidRDefault="000223C4">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0223C4" w:rsidTr="000223C4">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223C4" w:rsidRDefault="000223C4">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14</w:t>
            </w:r>
            <w:r>
              <w:rPr>
                <w:rFonts w:hint="eastAsia"/>
                <w:color w:val="000000"/>
                <w:sz w:val="22"/>
              </w:rPr>
              <w:t>天滚动。（由于节假日的影响，理财计划的实际理财天数将大于或小于</w:t>
            </w:r>
            <w:r>
              <w:rPr>
                <w:rFonts w:hint="eastAsia"/>
                <w:color w:val="000000"/>
                <w:sz w:val="22"/>
              </w:rPr>
              <w:t>14</w:t>
            </w:r>
            <w:r>
              <w:rPr>
                <w:rFonts w:hint="eastAsia"/>
                <w:color w:val="000000"/>
                <w:sz w:val="22"/>
              </w:rPr>
              <w:t>天）。客户可在开放期内办理赎回，未在规定时间内办理赎回的，视为自动再投资。）</w:t>
            </w:r>
          </w:p>
        </w:tc>
      </w:tr>
      <w:tr w:rsidR="000223C4" w:rsidTr="000223C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223C4" w:rsidRDefault="000223C4">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人民币</w:t>
            </w:r>
          </w:p>
        </w:tc>
      </w:tr>
      <w:tr w:rsidR="000223C4" w:rsidTr="000223C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223C4" w:rsidRDefault="000223C4">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非保本浮动收益型产品</w:t>
            </w:r>
          </w:p>
        </w:tc>
      </w:tr>
      <w:tr w:rsidR="000223C4" w:rsidTr="000223C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223C4" w:rsidRDefault="000223C4">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30</w:t>
            </w:r>
            <w:r>
              <w:rPr>
                <w:rFonts w:hint="eastAsia"/>
                <w:color w:val="000000"/>
                <w:sz w:val="22"/>
              </w:rPr>
              <w:t>亿元，平安银行有权按照实际情况进行调整。</w:t>
            </w:r>
          </w:p>
        </w:tc>
      </w:tr>
      <w:tr w:rsidR="000223C4" w:rsidTr="000223C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223C4" w:rsidRDefault="000223C4">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0223C4" w:rsidTr="000223C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223C4" w:rsidRDefault="000223C4">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w:t>
            </w:r>
            <w:proofErr w:type="gramStart"/>
            <w:r>
              <w:rPr>
                <w:rFonts w:hint="eastAsia"/>
                <w:color w:val="000000"/>
                <w:sz w:val="22"/>
              </w:rPr>
              <w:t>倍</w:t>
            </w:r>
            <w:proofErr w:type="gramEnd"/>
            <w:r>
              <w:rPr>
                <w:rFonts w:hint="eastAsia"/>
                <w:color w:val="000000"/>
                <w:sz w:val="22"/>
              </w:rPr>
              <w:t>元递增。</w:t>
            </w:r>
          </w:p>
        </w:tc>
      </w:tr>
      <w:tr w:rsidR="000223C4" w:rsidTr="000223C4">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223C4" w:rsidRDefault="000223C4">
            <w:pPr>
              <w:rPr>
                <w:rFonts w:ascii="宋体" w:eastAsia="宋体" w:hAnsi="宋体" w:cs="宋体"/>
                <w:color w:val="000000"/>
                <w:sz w:val="22"/>
              </w:rPr>
            </w:pPr>
            <w:r>
              <w:rPr>
                <w:rFonts w:hint="eastAsia"/>
                <w:color w:val="000000"/>
                <w:sz w:val="22"/>
              </w:rPr>
              <w:t>本期产品认购期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2014</w:t>
            </w:r>
            <w:r>
              <w:rPr>
                <w:rFonts w:hint="eastAsia"/>
                <w:color w:val="000000"/>
                <w:sz w:val="22"/>
              </w:rPr>
              <w:t>年</w:t>
            </w:r>
            <w:r>
              <w:rPr>
                <w:rFonts w:hint="eastAsia"/>
                <w:color w:val="000000"/>
                <w:sz w:val="22"/>
              </w:rPr>
              <w:t>09</w:t>
            </w:r>
            <w:r>
              <w:rPr>
                <w:rFonts w:hint="eastAsia"/>
                <w:color w:val="000000"/>
                <w:sz w:val="22"/>
              </w:rPr>
              <w:t>月</w:t>
            </w:r>
            <w:r>
              <w:rPr>
                <w:rFonts w:hint="eastAsia"/>
                <w:color w:val="000000"/>
                <w:sz w:val="22"/>
              </w:rPr>
              <w:t>23</w:t>
            </w:r>
            <w:r>
              <w:rPr>
                <w:rFonts w:hint="eastAsia"/>
                <w:color w:val="000000"/>
                <w:sz w:val="22"/>
              </w:rPr>
              <w:t>日</w:t>
            </w:r>
            <w:r>
              <w:rPr>
                <w:rFonts w:hint="eastAsia"/>
                <w:color w:val="000000"/>
                <w:sz w:val="22"/>
              </w:rPr>
              <w:t>-2014</w:t>
            </w:r>
            <w:r>
              <w:rPr>
                <w:rFonts w:hint="eastAsia"/>
                <w:color w:val="000000"/>
                <w:sz w:val="22"/>
              </w:rPr>
              <w:t>年</w:t>
            </w:r>
            <w:r>
              <w:rPr>
                <w:rFonts w:hint="eastAsia"/>
                <w:color w:val="000000"/>
                <w:sz w:val="22"/>
              </w:rPr>
              <w:t>09</w:t>
            </w:r>
            <w:r>
              <w:rPr>
                <w:rFonts w:hint="eastAsia"/>
                <w:color w:val="000000"/>
                <w:sz w:val="22"/>
              </w:rPr>
              <w:t>月</w:t>
            </w:r>
            <w:r>
              <w:rPr>
                <w:rFonts w:hint="eastAsia"/>
                <w:color w:val="000000"/>
                <w:sz w:val="22"/>
              </w:rPr>
              <w:t>24</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0223C4" w:rsidTr="000223C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223C4" w:rsidRDefault="000223C4">
            <w:pPr>
              <w:rPr>
                <w:rFonts w:ascii="宋体" w:eastAsia="宋体" w:hAnsi="宋体" w:cs="宋体"/>
                <w:color w:val="000000"/>
                <w:sz w:val="22"/>
              </w:rPr>
            </w:pPr>
            <w:r>
              <w:rPr>
                <w:rFonts w:hint="eastAsia"/>
                <w:color w:val="000000"/>
                <w:sz w:val="22"/>
              </w:rPr>
              <w:t>本期认购划款日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2014</w:t>
            </w:r>
            <w:r>
              <w:rPr>
                <w:rFonts w:hint="eastAsia"/>
                <w:color w:val="000000"/>
                <w:sz w:val="22"/>
              </w:rPr>
              <w:t>年</w:t>
            </w:r>
            <w:r>
              <w:rPr>
                <w:rFonts w:hint="eastAsia"/>
                <w:color w:val="000000"/>
                <w:sz w:val="22"/>
              </w:rPr>
              <w:t>09</w:t>
            </w:r>
            <w:r>
              <w:rPr>
                <w:rFonts w:hint="eastAsia"/>
                <w:color w:val="000000"/>
                <w:sz w:val="22"/>
              </w:rPr>
              <w:t>月</w:t>
            </w:r>
            <w:r>
              <w:rPr>
                <w:rFonts w:hint="eastAsia"/>
                <w:color w:val="000000"/>
                <w:sz w:val="22"/>
              </w:rPr>
              <w:t>25</w:t>
            </w:r>
            <w:r>
              <w:rPr>
                <w:rFonts w:hint="eastAsia"/>
                <w:color w:val="000000"/>
                <w:sz w:val="22"/>
              </w:rPr>
              <w:t>日</w:t>
            </w:r>
          </w:p>
        </w:tc>
      </w:tr>
      <w:tr w:rsidR="000223C4" w:rsidTr="000223C4">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223C4" w:rsidRDefault="000223C4">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w:t>
            </w:r>
            <w:proofErr w:type="gramStart"/>
            <w:r>
              <w:rPr>
                <w:rFonts w:hint="eastAsia"/>
                <w:color w:val="000000"/>
                <w:sz w:val="22"/>
              </w:rPr>
              <w:t>至客户</w:t>
            </w:r>
            <w:proofErr w:type="gramEnd"/>
            <w:r>
              <w:rPr>
                <w:rFonts w:hint="eastAsia"/>
                <w:color w:val="000000"/>
                <w:sz w:val="22"/>
              </w:rPr>
              <w:t>认购账户。</w:t>
            </w:r>
          </w:p>
        </w:tc>
      </w:tr>
      <w:tr w:rsidR="000223C4" w:rsidTr="000223C4">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223C4" w:rsidRDefault="000223C4">
            <w:pPr>
              <w:rPr>
                <w:rFonts w:ascii="宋体" w:eastAsia="宋体" w:hAnsi="宋体" w:cs="宋体"/>
                <w:color w:val="000000"/>
                <w:sz w:val="22"/>
              </w:rPr>
            </w:pPr>
            <w:r>
              <w:rPr>
                <w:rFonts w:hint="eastAsia"/>
                <w:color w:val="000000"/>
                <w:sz w:val="22"/>
              </w:rPr>
              <w:lastRenderedPageBreak/>
              <w:t>本期产品成立日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2014</w:t>
            </w:r>
            <w:r>
              <w:rPr>
                <w:rFonts w:hint="eastAsia"/>
                <w:color w:val="000000"/>
                <w:sz w:val="22"/>
              </w:rPr>
              <w:t>年</w:t>
            </w:r>
            <w:r>
              <w:rPr>
                <w:rFonts w:hint="eastAsia"/>
                <w:color w:val="000000"/>
                <w:sz w:val="22"/>
              </w:rPr>
              <w:t>09</w:t>
            </w:r>
            <w:r>
              <w:rPr>
                <w:rFonts w:hint="eastAsia"/>
                <w:color w:val="000000"/>
                <w:sz w:val="22"/>
              </w:rPr>
              <w:t>月</w:t>
            </w:r>
            <w:r>
              <w:rPr>
                <w:rFonts w:hint="eastAsia"/>
                <w:color w:val="000000"/>
                <w:sz w:val="22"/>
              </w:rPr>
              <w:t>25</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0223C4" w:rsidTr="000223C4">
        <w:trPr>
          <w:trHeight w:val="16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223C4" w:rsidRDefault="000223C4">
            <w:pPr>
              <w:rPr>
                <w:rFonts w:ascii="宋体" w:eastAsia="宋体" w:hAnsi="宋体" w:cs="宋体"/>
                <w:color w:val="000000"/>
                <w:sz w:val="22"/>
              </w:rPr>
            </w:pPr>
            <w:r>
              <w:rPr>
                <w:rFonts w:hint="eastAsia"/>
                <w:color w:val="000000"/>
                <w:sz w:val="22"/>
              </w:rPr>
              <w:t>本金及收益支付</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若客户申请当期理财期结束后即结束理财或银行提前终止理财，平安银行按照本说明书的规定计算到期收益，并在到期日或银行提前终止日后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）内将本金及收益划转到投资者指定账户，逢中国法定节假日顺延。对于选择继续理财的客户，收益支付方式亦为自动到账，且收益不参与下期滚动理财本金。</w:t>
            </w:r>
          </w:p>
        </w:tc>
      </w:tr>
      <w:tr w:rsidR="000223C4" w:rsidTr="000223C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223C4" w:rsidRDefault="000223C4">
            <w:pPr>
              <w:rPr>
                <w:rFonts w:ascii="宋体" w:eastAsia="宋体" w:hAnsi="宋体" w:cs="宋体"/>
                <w:color w:val="000000"/>
                <w:sz w:val="22"/>
              </w:rPr>
            </w:pPr>
            <w:r>
              <w:rPr>
                <w:rFonts w:hint="eastAsia"/>
                <w:color w:val="000000"/>
                <w:sz w:val="22"/>
              </w:rPr>
              <w:t>本期产品到期日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2014</w:t>
            </w:r>
            <w:r>
              <w:rPr>
                <w:rFonts w:hint="eastAsia"/>
                <w:color w:val="000000"/>
                <w:sz w:val="22"/>
              </w:rPr>
              <w:t>年</w:t>
            </w:r>
            <w:r>
              <w:rPr>
                <w:rFonts w:hint="eastAsia"/>
                <w:color w:val="000000"/>
                <w:sz w:val="22"/>
              </w:rPr>
              <w:t>10</w:t>
            </w:r>
            <w:r>
              <w:rPr>
                <w:rFonts w:hint="eastAsia"/>
                <w:color w:val="000000"/>
                <w:sz w:val="22"/>
              </w:rPr>
              <w:t>月</w:t>
            </w:r>
            <w:r>
              <w:rPr>
                <w:rFonts w:hint="eastAsia"/>
                <w:color w:val="000000"/>
                <w:sz w:val="22"/>
              </w:rPr>
              <w:t>09</w:t>
            </w:r>
            <w:r>
              <w:rPr>
                <w:rFonts w:hint="eastAsia"/>
                <w:color w:val="000000"/>
                <w:sz w:val="22"/>
              </w:rPr>
              <w:t>日</w:t>
            </w:r>
          </w:p>
        </w:tc>
      </w:tr>
      <w:tr w:rsidR="000223C4" w:rsidTr="000223C4">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223C4" w:rsidRDefault="000223C4">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0223C4" w:rsidTr="000223C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223C4" w:rsidRDefault="000223C4">
            <w:pPr>
              <w:rPr>
                <w:rFonts w:ascii="宋体" w:eastAsia="宋体" w:hAnsi="宋体" w:cs="宋体"/>
                <w:color w:val="000000"/>
                <w:sz w:val="22"/>
              </w:rPr>
            </w:pPr>
            <w:r>
              <w:rPr>
                <w:rFonts w:hint="eastAsia"/>
                <w:color w:val="000000"/>
                <w:sz w:val="22"/>
              </w:rPr>
              <w:t>资金保管人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平安银行股份有限公司</w:t>
            </w:r>
          </w:p>
        </w:tc>
      </w:tr>
      <w:tr w:rsidR="000223C4" w:rsidTr="000223C4">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223C4" w:rsidRDefault="000223C4">
            <w:pPr>
              <w:rPr>
                <w:rFonts w:ascii="宋体" w:eastAsia="宋体" w:hAnsi="宋体" w:cs="宋体"/>
                <w:color w:val="000000"/>
                <w:sz w:val="22"/>
              </w:rPr>
            </w:pPr>
            <w:r>
              <w:rPr>
                <w:rFonts w:hint="eastAsia"/>
                <w:color w:val="000000"/>
                <w:sz w:val="22"/>
              </w:rPr>
              <w:t>本期产品收益率测算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根据当期可投资资产收益率，扣除产品的成本，本期产品预期</w:t>
            </w:r>
            <w:proofErr w:type="gramStart"/>
            <w:r>
              <w:rPr>
                <w:rFonts w:hint="eastAsia"/>
                <w:color w:val="000000"/>
                <w:sz w:val="22"/>
              </w:rPr>
              <w:t>最高年化收益率</w:t>
            </w:r>
            <w:proofErr w:type="gramEnd"/>
            <w:r>
              <w:rPr>
                <w:rFonts w:hint="eastAsia"/>
                <w:color w:val="000000"/>
                <w:sz w:val="22"/>
              </w:rPr>
              <w:t>为</w:t>
            </w:r>
            <w:r>
              <w:rPr>
                <w:rFonts w:hint="eastAsia"/>
                <w:color w:val="000000"/>
                <w:sz w:val="22"/>
              </w:rPr>
              <w:t>20</w:t>
            </w:r>
            <w:r>
              <w:rPr>
                <w:rFonts w:hint="eastAsia"/>
                <w:color w:val="000000"/>
                <w:sz w:val="22"/>
              </w:rPr>
              <w:t>万以下</w:t>
            </w:r>
            <w:r w:rsidR="00C87DB3">
              <w:rPr>
                <w:rFonts w:hint="eastAsia"/>
                <w:color w:val="000000"/>
                <w:sz w:val="22"/>
              </w:rPr>
              <w:t>5.20</w:t>
            </w:r>
            <w:r>
              <w:rPr>
                <w:rFonts w:hint="eastAsia"/>
                <w:color w:val="000000"/>
                <w:sz w:val="22"/>
              </w:rPr>
              <w:t>%</w:t>
            </w:r>
            <w:r>
              <w:rPr>
                <w:rFonts w:hint="eastAsia"/>
                <w:color w:val="000000"/>
                <w:sz w:val="22"/>
              </w:rPr>
              <w:t>，</w:t>
            </w:r>
            <w:r>
              <w:rPr>
                <w:rFonts w:hint="eastAsia"/>
                <w:color w:val="000000"/>
                <w:sz w:val="22"/>
              </w:rPr>
              <w:t>20</w:t>
            </w:r>
            <w:r>
              <w:rPr>
                <w:rFonts w:hint="eastAsia"/>
                <w:color w:val="000000"/>
                <w:sz w:val="22"/>
              </w:rPr>
              <w:t>万（含）以上</w:t>
            </w:r>
            <w:r w:rsidR="00C87DB3">
              <w:rPr>
                <w:rFonts w:hint="eastAsia"/>
                <w:color w:val="000000"/>
                <w:sz w:val="22"/>
              </w:rPr>
              <w:t>5.30</w:t>
            </w:r>
            <w:r>
              <w:rPr>
                <w:rFonts w:hint="eastAsia"/>
                <w:color w:val="000000"/>
                <w:sz w:val="22"/>
              </w:rPr>
              <w:t>%</w:t>
            </w:r>
            <w:r>
              <w:rPr>
                <w:rFonts w:hint="eastAsia"/>
                <w:color w:val="000000"/>
                <w:sz w:val="22"/>
              </w:rPr>
              <w:t>。超过预期</w:t>
            </w:r>
            <w:proofErr w:type="gramStart"/>
            <w:r>
              <w:rPr>
                <w:rFonts w:hint="eastAsia"/>
                <w:color w:val="000000"/>
                <w:sz w:val="22"/>
              </w:rPr>
              <w:t>最高年化收益率</w:t>
            </w:r>
            <w:proofErr w:type="gramEnd"/>
            <w:r>
              <w:rPr>
                <w:rFonts w:hint="eastAsia"/>
                <w:color w:val="000000"/>
                <w:sz w:val="22"/>
              </w:rPr>
              <w:t>的收益部分作为平安银行的手续费。平安银行有权根据理财产品资金运作情况调整预期</w:t>
            </w:r>
            <w:proofErr w:type="gramStart"/>
            <w:r>
              <w:rPr>
                <w:rFonts w:hint="eastAsia"/>
                <w:color w:val="000000"/>
                <w:sz w:val="22"/>
              </w:rPr>
              <w:t>最高年化收益率</w:t>
            </w:r>
            <w:proofErr w:type="gramEnd"/>
            <w:r>
              <w:rPr>
                <w:rFonts w:hint="eastAsia"/>
                <w:color w:val="000000"/>
                <w:sz w:val="22"/>
              </w:rPr>
              <w:t>，以后各期预期</w:t>
            </w:r>
            <w:proofErr w:type="gramStart"/>
            <w:r>
              <w:rPr>
                <w:rFonts w:hint="eastAsia"/>
                <w:color w:val="000000"/>
                <w:sz w:val="22"/>
              </w:rPr>
              <w:t>最高年化收益率</w:t>
            </w:r>
            <w:proofErr w:type="gramEnd"/>
            <w:r>
              <w:rPr>
                <w:rFonts w:hint="eastAsia"/>
                <w:color w:val="000000"/>
                <w:sz w:val="22"/>
              </w:rPr>
              <w:t>详见平安银行网站当期信息公告。</w:t>
            </w:r>
          </w:p>
        </w:tc>
      </w:tr>
      <w:tr w:rsidR="000223C4" w:rsidTr="000223C4">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223C4" w:rsidRDefault="000223C4">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所有符合本理财产品投资要求的投资者均可携带本人身份证件及借记卡到平安银行各营业网点、网上银行办理认购手续。</w:t>
            </w:r>
          </w:p>
        </w:tc>
      </w:tr>
      <w:tr w:rsidR="000223C4" w:rsidTr="000223C4">
        <w:trPr>
          <w:trHeight w:val="16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223C4" w:rsidRDefault="000223C4">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在每个理财期内，投资者无提前终止本理财计划的权利。平安银行对本产品实行定期滚动发行方式，并保留在每个理财期间提前终止理财以及在任</w:t>
            </w:r>
            <w:proofErr w:type="gramStart"/>
            <w:r>
              <w:rPr>
                <w:rFonts w:hint="eastAsia"/>
                <w:color w:val="000000"/>
                <w:sz w:val="22"/>
              </w:rPr>
              <w:t>一</w:t>
            </w:r>
            <w:proofErr w:type="gramEnd"/>
            <w:r>
              <w:rPr>
                <w:rFonts w:hint="eastAsia"/>
                <w:color w:val="000000"/>
                <w:sz w:val="22"/>
              </w:rPr>
              <w:t>理财期到期时终止此类产品滚动发行的权利。</w:t>
            </w:r>
            <w:r>
              <w:rPr>
                <w:rFonts w:hint="eastAsia"/>
                <w:color w:val="000000"/>
                <w:sz w:val="22"/>
              </w:rPr>
              <w:br/>
            </w:r>
            <w:r>
              <w:rPr>
                <w:rFonts w:hint="eastAsia"/>
                <w:color w:val="000000"/>
                <w:sz w:val="22"/>
              </w:rPr>
              <w:t>银行在提前终止日或者在产品到期日前</w:t>
            </w:r>
            <w:r>
              <w:rPr>
                <w:rFonts w:hint="eastAsia"/>
                <w:color w:val="000000"/>
                <w:sz w:val="22"/>
              </w:rPr>
              <w:t>2</w:t>
            </w:r>
            <w:r>
              <w:rPr>
                <w:rFonts w:hint="eastAsia"/>
                <w:color w:val="000000"/>
                <w:sz w:val="22"/>
              </w:rPr>
              <w:t>个工作日发布信息公告。</w:t>
            </w:r>
          </w:p>
        </w:tc>
      </w:tr>
      <w:tr w:rsidR="000223C4" w:rsidTr="000223C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223C4" w:rsidRDefault="000223C4">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国家法定工作日</w:t>
            </w:r>
          </w:p>
        </w:tc>
      </w:tr>
      <w:tr w:rsidR="000223C4" w:rsidTr="000223C4">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223C4" w:rsidRDefault="000223C4">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正常到期：产品实际收益</w:t>
            </w:r>
            <w:r>
              <w:rPr>
                <w:rFonts w:hint="eastAsia"/>
                <w:color w:val="000000"/>
                <w:sz w:val="22"/>
              </w:rPr>
              <w:t xml:space="preserve"> = </w:t>
            </w:r>
            <w:r>
              <w:rPr>
                <w:rFonts w:hint="eastAsia"/>
                <w:color w:val="000000"/>
                <w:sz w:val="22"/>
              </w:rPr>
              <w:t>投资本金×当期</w:t>
            </w:r>
            <w:proofErr w:type="gramStart"/>
            <w:r>
              <w:rPr>
                <w:rFonts w:hint="eastAsia"/>
                <w:color w:val="000000"/>
                <w:sz w:val="22"/>
              </w:rPr>
              <w:t>实际年化收益率</w:t>
            </w:r>
            <w:proofErr w:type="gramEnd"/>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提前（延期）终止：产品实际收益</w:t>
            </w:r>
            <w:r>
              <w:rPr>
                <w:rFonts w:hint="eastAsia"/>
                <w:color w:val="000000"/>
                <w:sz w:val="22"/>
              </w:rPr>
              <w:t xml:space="preserve"> = </w:t>
            </w:r>
            <w:r>
              <w:rPr>
                <w:rFonts w:hint="eastAsia"/>
                <w:color w:val="000000"/>
                <w:sz w:val="22"/>
              </w:rPr>
              <w:t>投资本金×当期</w:t>
            </w:r>
            <w:proofErr w:type="gramStart"/>
            <w:r>
              <w:rPr>
                <w:rFonts w:hint="eastAsia"/>
                <w:color w:val="000000"/>
                <w:sz w:val="22"/>
              </w:rPr>
              <w:t>实际年化收益率</w:t>
            </w:r>
            <w:proofErr w:type="gramEnd"/>
            <w:r>
              <w:rPr>
                <w:rFonts w:hint="eastAsia"/>
                <w:color w:val="000000"/>
                <w:sz w:val="22"/>
              </w:rPr>
              <w:t>/365</w:t>
            </w:r>
            <w:r>
              <w:rPr>
                <w:rFonts w:hint="eastAsia"/>
                <w:color w:val="000000"/>
                <w:sz w:val="22"/>
              </w:rPr>
              <w:t>×实际存续天数</w:t>
            </w:r>
          </w:p>
        </w:tc>
      </w:tr>
      <w:tr w:rsidR="000223C4" w:rsidTr="000223C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223C4" w:rsidRDefault="000223C4">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理财收益的应纳税款由投资者自行申报及缴纳</w:t>
            </w:r>
          </w:p>
        </w:tc>
      </w:tr>
      <w:tr w:rsidR="000223C4" w:rsidTr="000223C4">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223C4" w:rsidRDefault="000223C4">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0223C4" w:rsidTr="000223C4">
        <w:trPr>
          <w:trHeight w:val="285"/>
        </w:trPr>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r>
      <w:tr w:rsidR="000223C4" w:rsidTr="000223C4">
        <w:trPr>
          <w:trHeight w:val="555"/>
        </w:trPr>
        <w:tc>
          <w:tcPr>
            <w:tcW w:w="8240" w:type="dxa"/>
            <w:gridSpan w:val="3"/>
            <w:tcBorders>
              <w:top w:val="nil"/>
              <w:left w:val="nil"/>
              <w:bottom w:val="nil"/>
              <w:right w:val="nil"/>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本理财产品投资于银行间市场信用等级较高、流动性较好的债券以及货币市场工具。</w:t>
            </w:r>
          </w:p>
        </w:tc>
      </w:tr>
      <w:tr w:rsidR="000223C4" w:rsidTr="000223C4">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23C4" w:rsidRDefault="000223C4">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0223C4" w:rsidRDefault="000223C4">
            <w:pPr>
              <w:jc w:val="center"/>
              <w:rPr>
                <w:rFonts w:ascii="宋体" w:eastAsia="宋体" w:hAnsi="宋体" w:cs="宋体"/>
                <w:color w:val="000000"/>
                <w:szCs w:val="21"/>
              </w:rPr>
            </w:pPr>
            <w:r>
              <w:rPr>
                <w:rFonts w:hint="eastAsia"/>
                <w:color w:val="000000"/>
                <w:szCs w:val="21"/>
              </w:rPr>
              <w:t>投资比例</w:t>
            </w:r>
          </w:p>
        </w:tc>
      </w:tr>
      <w:tr w:rsidR="000223C4" w:rsidTr="000223C4">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23C4" w:rsidRDefault="000223C4">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0223C4" w:rsidRDefault="000223C4">
            <w:pPr>
              <w:jc w:val="center"/>
              <w:rPr>
                <w:rFonts w:ascii="宋体" w:eastAsia="宋体" w:hAnsi="宋体" w:cs="宋体"/>
                <w:color w:val="000000"/>
                <w:szCs w:val="21"/>
              </w:rPr>
            </w:pPr>
            <w:r>
              <w:rPr>
                <w:rFonts w:hint="eastAsia"/>
                <w:color w:val="000000"/>
                <w:szCs w:val="21"/>
              </w:rPr>
              <w:t>0-20%</w:t>
            </w:r>
          </w:p>
        </w:tc>
      </w:tr>
      <w:tr w:rsidR="000223C4" w:rsidTr="000223C4">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23C4" w:rsidRDefault="000223C4">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0223C4" w:rsidRDefault="000223C4">
            <w:pPr>
              <w:jc w:val="center"/>
              <w:rPr>
                <w:rFonts w:ascii="宋体" w:eastAsia="宋体" w:hAnsi="宋体" w:cs="宋体"/>
                <w:color w:val="000000"/>
                <w:szCs w:val="21"/>
              </w:rPr>
            </w:pPr>
            <w:r>
              <w:rPr>
                <w:rFonts w:hint="eastAsia"/>
                <w:color w:val="000000"/>
                <w:szCs w:val="21"/>
              </w:rPr>
              <w:t>30-80%</w:t>
            </w:r>
          </w:p>
        </w:tc>
      </w:tr>
      <w:tr w:rsidR="000223C4" w:rsidTr="000223C4">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223C4" w:rsidRDefault="000223C4">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0223C4" w:rsidRDefault="000223C4">
            <w:pPr>
              <w:jc w:val="center"/>
              <w:rPr>
                <w:rFonts w:ascii="宋体" w:eastAsia="宋体" w:hAnsi="宋体" w:cs="宋体"/>
                <w:color w:val="000000"/>
                <w:szCs w:val="21"/>
              </w:rPr>
            </w:pPr>
            <w:r>
              <w:rPr>
                <w:rFonts w:hint="eastAsia"/>
                <w:color w:val="000000"/>
                <w:szCs w:val="21"/>
              </w:rPr>
              <w:t>0-60%</w:t>
            </w:r>
          </w:p>
        </w:tc>
      </w:tr>
      <w:tr w:rsidR="000223C4" w:rsidTr="000223C4">
        <w:trPr>
          <w:trHeight w:val="900"/>
        </w:trPr>
        <w:tc>
          <w:tcPr>
            <w:tcW w:w="8240" w:type="dxa"/>
            <w:gridSpan w:val="3"/>
            <w:tcBorders>
              <w:top w:val="nil"/>
              <w:left w:val="nil"/>
              <w:bottom w:val="nil"/>
              <w:right w:val="nil"/>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0223C4" w:rsidTr="000223C4">
        <w:trPr>
          <w:trHeight w:val="285"/>
        </w:trPr>
        <w:tc>
          <w:tcPr>
            <w:tcW w:w="0" w:type="auto"/>
            <w:gridSpan w:val="3"/>
            <w:tcBorders>
              <w:top w:val="nil"/>
              <w:left w:val="nil"/>
              <w:bottom w:val="nil"/>
              <w:right w:val="nil"/>
            </w:tcBorders>
            <w:shd w:val="clear" w:color="auto" w:fill="auto"/>
            <w:noWrap/>
            <w:vAlign w:val="center"/>
            <w:hideMark/>
          </w:tcPr>
          <w:p w:rsidR="000223C4" w:rsidRDefault="000223C4">
            <w:pPr>
              <w:rPr>
                <w:rFonts w:ascii="宋体" w:eastAsia="宋体" w:hAnsi="宋体" w:cs="宋体"/>
                <w:b/>
                <w:bCs/>
                <w:color w:val="000000"/>
                <w:sz w:val="24"/>
                <w:szCs w:val="24"/>
              </w:rPr>
            </w:pPr>
            <w:r>
              <w:rPr>
                <w:rFonts w:hint="eastAsia"/>
                <w:b/>
                <w:bCs/>
                <w:color w:val="000000"/>
              </w:rPr>
              <w:t>三、理财产品费用、收益分析与计算</w:t>
            </w:r>
          </w:p>
        </w:tc>
      </w:tr>
      <w:tr w:rsidR="000223C4" w:rsidTr="000223C4">
        <w:trPr>
          <w:trHeight w:val="270"/>
        </w:trPr>
        <w:tc>
          <w:tcPr>
            <w:tcW w:w="0" w:type="auto"/>
            <w:gridSpan w:val="3"/>
            <w:tcBorders>
              <w:top w:val="nil"/>
              <w:left w:val="nil"/>
              <w:bottom w:val="nil"/>
              <w:right w:val="nil"/>
            </w:tcBorders>
            <w:shd w:val="clear" w:color="auto" w:fill="auto"/>
            <w:noWrap/>
            <w:vAlign w:val="center"/>
            <w:hideMark/>
          </w:tcPr>
          <w:p w:rsidR="000223C4" w:rsidRDefault="000223C4">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0223C4" w:rsidTr="000223C4">
        <w:trPr>
          <w:trHeight w:val="3510"/>
        </w:trPr>
        <w:tc>
          <w:tcPr>
            <w:tcW w:w="8240" w:type="dxa"/>
            <w:gridSpan w:val="3"/>
            <w:tcBorders>
              <w:top w:val="nil"/>
              <w:left w:val="nil"/>
              <w:bottom w:val="nil"/>
              <w:right w:val="nil"/>
            </w:tcBorders>
            <w:shd w:val="clear" w:color="auto" w:fill="auto"/>
            <w:vAlign w:val="center"/>
            <w:hideMark/>
          </w:tcPr>
          <w:p w:rsidR="000223C4" w:rsidRDefault="000223C4">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w:t>
            </w:r>
            <w:proofErr w:type="gramStart"/>
            <w:r>
              <w:rPr>
                <w:rFonts w:hint="eastAsia"/>
                <w:sz w:val="22"/>
              </w:rPr>
              <w:t>完客户</w:t>
            </w:r>
            <w:proofErr w:type="gramEnd"/>
            <w:r>
              <w:rPr>
                <w:rFonts w:hint="eastAsia"/>
                <w:sz w:val="22"/>
              </w:rPr>
              <w:t>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0223C4" w:rsidTr="000223C4">
        <w:trPr>
          <w:trHeight w:val="270"/>
        </w:trPr>
        <w:tc>
          <w:tcPr>
            <w:tcW w:w="0" w:type="auto"/>
            <w:gridSpan w:val="3"/>
            <w:tcBorders>
              <w:top w:val="nil"/>
              <w:left w:val="nil"/>
              <w:bottom w:val="nil"/>
              <w:right w:val="nil"/>
            </w:tcBorders>
            <w:shd w:val="clear" w:color="auto" w:fill="auto"/>
            <w:noWrap/>
            <w:vAlign w:val="center"/>
            <w:hideMark/>
          </w:tcPr>
          <w:p w:rsidR="000223C4" w:rsidRDefault="000223C4">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w:t>
            </w:r>
            <w:proofErr w:type="gramStart"/>
            <w:r>
              <w:rPr>
                <w:rFonts w:hint="eastAsia"/>
                <w:b/>
                <w:bCs/>
                <w:color w:val="000000"/>
                <w:szCs w:val="21"/>
              </w:rPr>
              <w:t>最高年化收益率</w:t>
            </w:r>
            <w:proofErr w:type="gramEnd"/>
            <w:r>
              <w:rPr>
                <w:rFonts w:hint="eastAsia"/>
                <w:b/>
                <w:bCs/>
                <w:color w:val="000000"/>
                <w:szCs w:val="21"/>
              </w:rPr>
              <w:t>：</w:t>
            </w:r>
            <w:r>
              <w:rPr>
                <w:rFonts w:hint="eastAsia"/>
                <w:b/>
                <w:bCs/>
                <w:color w:val="000000"/>
                <w:szCs w:val="21"/>
              </w:rPr>
              <w:t>20</w:t>
            </w:r>
            <w:r>
              <w:rPr>
                <w:rFonts w:hint="eastAsia"/>
                <w:b/>
                <w:bCs/>
                <w:color w:val="000000"/>
                <w:szCs w:val="21"/>
              </w:rPr>
              <w:t>万以下</w:t>
            </w:r>
            <w:r w:rsidR="00C87DB3">
              <w:rPr>
                <w:rFonts w:hint="eastAsia"/>
                <w:b/>
                <w:bCs/>
                <w:color w:val="000000"/>
                <w:szCs w:val="21"/>
              </w:rPr>
              <w:t>5.20</w:t>
            </w:r>
            <w:r>
              <w:rPr>
                <w:rFonts w:hint="eastAsia"/>
                <w:b/>
                <w:bCs/>
                <w:color w:val="000000"/>
                <w:szCs w:val="21"/>
              </w:rPr>
              <w:t>%</w:t>
            </w:r>
            <w:r>
              <w:rPr>
                <w:rFonts w:hint="eastAsia"/>
                <w:b/>
                <w:bCs/>
                <w:color w:val="000000"/>
                <w:szCs w:val="21"/>
              </w:rPr>
              <w:t>，</w:t>
            </w:r>
            <w:r>
              <w:rPr>
                <w:rFonts w:hint="eastAsia"/>
                <w:b/>
                <w:bCs/>
                <w:color w:val="000000"/>
                <w:szCs w:val="21"/>
              </w:rPr>
              <w:t>20</w:t>
            </w:r>
            <w:r>
              <w:rPr>
                <w:rFonts w:hint="eastAsia"/>
                <w:b/>
                <w:bCs/>
                <w:color w:val="000000"/>
                <w:szCs w:val="21"/>
              </w:rPr>
              <w:t>万（含）以上</w:t>
            </w:r>
            <w:r w:rsidR="00C87DB3">
              <w:rPr>
                <w:rFonts w:hint="eastAsia"/>
                <w:b/>
                <w:bCs/>
                <w:color w:val="000000"/>
                <w:szCs w:val="21"/>
              </w:rPr>
              <w:t>5.30</w:t>
            </w:r>
            <w:r>
              <w:rPr>
                <w:rFonts w:hint="eastAsia"/>
                <w:b/>
                <w:bCs/>
                <w:color w:val="000000"/>
                <w:szCs w:val="21"/>
              </w:rPr>
              <w:t>%</w:t>
            </w:r>
          </w:p>
        </w:tc>
      </w:tr>
      <w:tr w:rsidR="000223C4" w:rsidTr="000223C4">
        <w:trPr>
          <w:trHeight w:val="555"/>
        </w:trPr>
        <w:tc>
          <w:tcPr>
            <w:tcW w:w="8240" w:type="dxa"/>
            <w:gridSpan w:val="3"/>
            <w:tcBorders>
              <w:top w:val="nil"/>
              <w:left w:val="nil"/>
              <w:bottom w:val="nil"/>
              <w:right w:val="nil"/>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 xml:space="preserve">    </w:t>
            </w:r>
            <w:r>
              <w:rPr>
                <w:rFonts w:hint="eastAsia"/>
                <w:color w:val="000000"/>
                <w:sz w:val="22"/>
              </w:rPr>
              <w:t>客户预期</w:t>
            </w:r>
            <w:proofErr w:type="gramStart"/>
            <w:r>
              <w:rPr>
                <w:rFonts w:hint="eastAsia"/>
                <w:color w:val="000000"/>
                <w:sz w:val="22"/>
              </w:rPr>
              <w:t>最高年化收益率</w:t>
            </w:r>
            <w:proofErr w:type="gramEnd"/>
            <w:r>
              <w:rPr>
                <w:rFonts w:hint="eastAsia"/>
                <w:color w:val="000000"/>
                <w:sz w:val="22"/>
              </w:rPr>
              <w:t>根据当前可投资资产的预期加权投资收益率扣除银行销售手续费率、资金保管费率、资产管理费率后测算而得。</w:t>
            </w:r>
          </w:p>
        </w:tc>
      </w:tr>
      <w:tr w:rsidR="000223C4" w:rsidTr="000223C4">
        <w:trPr>
          <w:trHeight w:val="270"/>
        </w:trPr>
        <w:tc>
          <w:tcPr>
            <w:tcW w:w="0" w:type="auto"/>
            <w:gridSpan w:val="2"/>
            <w:tcBorders>
              <w:top w:val="nil"/>
              <w:left w:val="nil"/>
              <w:bottom w:val="nil"/>
              <w:right w:val="nil"/>
            </w:tcBorders>
            <w:shd w:val="clear" w:color="auto" w:fill="auto"/>
            <w:noWrap/>
            <w:vAlign w:val="center"/>
            <w:hideMark/>
          </w:tcPr>
          <w:p w:rsidR="000223C4" w:rsidRDefault="000223C4">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r>
      <w:tr w:rsidR="000223C4" w:rsidTr="000223C4">
        <w:trPr>
          <w:trHeight w:val="555"/>
        </w:trPr>
        <w:tc>
          <w:tcPr>
            <w:tcW w:w="8240" w:type="dxa"/>
            <w:gridSpan w:val="3"/>
            <w:tcBorders>
              <w:top w:val="nil"/>
              <w:left w:val="nil"/>
              <w:bottom w:val="nil"/>
              <w:right w:val="nil"/>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w:t>
            </w:r>
            <w:proofErr w:type="gramStart"/>
            <w:r>
              <w:rPr>
                <w:rFonts w:hint="eastAsia"/>
                <w:color w:val="000000"/>
                <w:sz w:val="22"/>
              </w:rPr>
              <w:t>实际年化收益率</w:t>
            </w:r>
            <w:proofErr w:type="gramEnd"/>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0223C4" w:rsidTr="000223C4">
        <w:trPr>
          <w:trHeight w:val="270"/>
        </w:trPr>
        <w:tc>
          <w:tcPr>
            <w:tcW w:w="0" w:type="auto"/>
            <w:gridSpan w:val="2"/>
            <w:tcBorders>
              <w:top w:val="nil"/>
              <w:left w:val="nil"/>
              <w:bottom w:val="nil"/>
              <w:right w:val="nil"/>
            </w:tcBorders>
            <w:shd w:val="clear" w:color="auto" w:fill="auto"/>
            <w:noWrap/>
            <w:vAlign w:val="center"/>
            <w:hideMark/>
          </w:tcPr>
          <w:p w:rsidR="000223C4" w:rsidRDefault="000223C4">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r>
      <w:tr w:rsidR="000223C4" w:rsidTr="000223C4">
        <w:trPr>
          <w:trHeight w:val="810"/>
        </w:trPr>
        <w:tc>
          <w:tcPr>
            <w:tcW w:w="8240" w:type="dxa"/>
            <w:gridSpan w:val="3"/>
            <w:tcBorders>
              <w:top w:val="nil"/>
              <w:left w:val="nil"/>
              <w:bottom w:val="nil"/>
              <w:right w:val="nil"/>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 xml:space="preserve">    </w:t>
            </w:r>
            <w:r>
              <w:rPr>
                <w:rFonts w:hint="eastAsia"/>
                <w:color w:val="000000"/>
                <w:sz w:val="22"/>
              </w:rPr>
              <w:t>本产品主要投资于银行间市场信用等级较高、流动性较好的债券以及货币市场工具。根据组合资产的收益，扣除产品的成本，本期理财产品预期</w:t>
            </w:r>
            <w:proofErr w:type="gramStart"/>
            <w:r>
              <w:rPr>
                <w:rFonts w:hint="eastAsia"/>
                <w:color w:val="000000"/>
                <w:sz w:val="22"/>
              </w:rPr>
              <w:t>最高年化收益率</w:t>
            </w:r>
            <w:proofErr w:type="gramEnd"/>
            <w:r>
              <w:rPr>
                <w:rFonts w:hint="eastAsia"/>
                <w:color w:val="000000"/>
                <w:sz w:val="22"/>
              </w:rPr>
              <w:t>为</w:t>
            </w:r>
            <w:r>
              <w:rPr>
                <w:rFonts w:hint="eastAsia"/>
                <w:color w:val="000000"/>
                <w:sz w:val="22"/>
              </w:rPr>
              <w:t>20</w:t>
            </w:r>
            <w:r>
              <w:rPr>
                <w:rFonts w:hint="eastAsia"/>
                <w:color w:val="000000"/>
                <w:sz w:val="22"/>
              </w:rPr>
              <w:t>万以下</w:t>
            </w:r>
            <w:r w:rsidR="00C87DB3">
              <w:rPr>
                <w:rFonts w:hint="eastAsia"/>
                <w:color w:val="000000"/>
                <w:sz w:val="22"/>
              </w:rPr>
              <w:t>5.20</w:t>
            </w:r>
            <w:r>
              <w:rPr>
                <w:rFonts w:hint="eastAsia"/>
                <w:color w:val="000000"/>
                <w:sz w:val="22"/>
              </w:rPr>
              <w:t>%</w:t>
            </w:r>
            <w:r>
              <w:rPr>
                <w:rFonts w:hint="eastAsia"/>
                <w:color w:val="000000"/>
                <w:sz w:val="22"/>
              </w:rPr>
              <w:t>，</w:t>
            </w:r>
            <w:r>
              <w:rPr>
                <w:rFonts w:hint="eastAsia"/>
                <w:color w:val="000000"/>
                <w:sz w:val="22"/>
              </w:rPr>
              <w:t>20</w:t>
            </w:r>
            <w:r>
              <w:rPr>
                <w:rFonts w:hint="eastAsia"/>
                <w:color w:val="000000"/>
                <w:sz w:val="22"/>
              </w:rPr>
              <w:t>万（含）以上</w:t>
            </w:r>
            <w:r w:rsidR="00C87DB3">
              <w:rPr>
                <w:rFonts w:hint="eastAsia"/>
                <w:color w:val="000000"/>
                <w:sz w:val="22"/>
              </w:rPr>
              <w:t>5.30</w:t>
            </w:r>
            <w:r>
              <w:rPr>
                <w:rFonts w:hint="eastAsia"/>
                <w:color w:val="000000"/>
                <w:sz w:val="22"/>
              </w:rPr>
              <w:t>%</w:t>
            </w:r>
          </w:p>
        </w:tc>
      </w:tr>
      <w:tr w:rsidR="000223C4" w:rsidTr="000223C4">
        <w:trPr>
          <w:trHeight w:val="270"/>
        </w:trPr>
        <w:tc>
          <w:tcPr>
            <w:tcW w:w="0" w:type="auto"/>
            <w:gridSpan w:val="3"/>
            <w:tcBorders>
              <w:top w:val="nil"/>
              <w:left w:val="nil"/>
              <w:bottom w:val="nil"/>
              <w:right w:val="nil"/>
            </w:tcBorders>
            <w:shd w:val="clear" w:color="auto" w:fill="auto"/>
            <w:noWrap/>
            <w:vAlign w:val="center"/>
            <w:hideMark/>
          </w:tcPr>
          <w:p w:rsidR="000223C4" w:rsidRDefault="000223C4">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0223C4" w:rsidTr="000223C4">
        <w:trPr>
          <w:trHeight w:val="270"/>
        </w:trPr>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r>
      <w:tr w:rsidR="000223C4" w:rsidTr="000223C4">
        <w:trPr>
          <w:trHeight w:val="270"/>
        </w:trPr>
        <w:tc>
          <w:tcPr>
            <w:tcW w:w="8240" w:type="dxa"/>
            <w:gridSpan w:val="3"/>
            <w:tcBorders>
              <w:top w:val="nil"/>
              <w:left w:val="nil"/>
              <w:bottom w:val="nil"/>
              <w:right w:val="nil"/>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0223C4" w:rsidTr="000223C4">
        <w:trPr>
          <w:trHeight w:val="1125"/>
        </w:trPr>
        <w:tc>
          <w:tcPr>
            <w:tcW w:w="8240" w:type="dxa"/>
            <w:gridSpan w:val="3"/>
            <w:tcBorders>
              <w:top w:val="nil"/>
              <w:left w:val="nil"/>
              <w:bottom w:val="nil"/>
              <w:right w:val="nil"/>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14</w:t>
            </w:r>
            <w:r>
              <w:rPr>
                <w:rFonts w:hint="eastAsia"/>
                <w:color w:val="000000"/>
                <w:sz w:val="22"/>
              </w:rPr>
              <w:t>天，客户预期</w:t>
            </w:r>
            <w:proofErr w:type="gramStart"/>
            <w:r>
              <w:rPr>
                <w:rFonts w:hint="eastAsia"/>
                <w:color w:val="000000"/>
                <w:sz w:val="22"/>
              </w:rPr>
              <w:t>最高年化收益率</w:t>
            </w:r>
            <w:proofErr w:type="gramEnd"/>
            <w:r>
              <w:rPr>
                <w:rFonts w:hint="eastAsia"/>
                <w:color w:val="000000"/>
                <w:sz w:val="22"/>
              </w:rPr>
              <w:t>为</w:t>
            </w:r>
            <w:r w:rsidR="00C87DB3">
              <w:rPr>
                <w:rFonts w:hint="eastAsia"/>
                <w:color w:val="000000"/>
                <w:sz w:val="22"/>
              </w:rPr>
              <w:t>5.30</w:t>
            </w:r>
            <w:r>
              <w:rPr>
                <w:rFonts w:hint="eastAsia"/>
                <w:color w:val="000000"/>
                <w:sz w:val="22"/>
              </w:rPr>
              <w:t>%</w:t>
            </w:r>
            <w:r>
              <w:rPr>
                <w:rFonts w:hint="eastAsia"/>
                <w:color w:val="000000"/>
                <w:sz w:val="22"/>
              </w:rPr>
              <w:t>，产品结束时，当期</w:t>
            </w:r>
            <w:proofErr w:type="gramStart"/>
            <w:r>
              <w:rPr>
                <w:rFonts w:hint="eastAsia"/>
                <w:color w:val="000000"/>
                <w:sz w:val="22"/>
              </w:rPr>
              <w:t>实际年化收益率</w:t>
            </w:r>
            <w:proofErr w:type="gramEnd"/>
            <w:r>
              <w:rPr>
                <w:rFonts w:hint="eastAsia"/>
                <w:color w:val="000000"/>
                <w:sz w:val="22"/>
              </w:rPr>
              <w:t>等于客户预期</w:t>
            </w:r>
            <w:proofErr w:type="gramStart"/>
            <w:r>
              <w:rPr>
                <w:rFonts w:hint="eastAsia"/>
                <w:color w:val="000000"/>
                <w:sz w:val="22"/>
              </w:rPr>
              <w:t>最高年化收益率</w:t>
            </w:r>
            <w:proofErr w:type="gramEnd"/>
            <w:r>
              <w:rPr>
                <w:rFonts w:hint="eastAsia"/>
                <w:color w:val="000000"/>
                <w:sz w:val="22"/>
              </w:rPr>
              <w:t>，则投资者持有到期理财收益为：</w:t>
            </w:r>
            <w:r>
              <w:rPr>
                <w:rFonts w:hint="eastAsia"/>
                <w:color w:val="000000"/>
                <w:sz w:val="22"/>
              </w:rPr>
              <w:t>1,000,000</w:t>
            </w:r>
            <w:r>
              <w:rPr>
                <w:rFonts w:hint="eastAsia"/>
                <w:color w:val="000000"/>
                <w:sz w:val="22"/>
              </w:rPr>
              <w:t>×</w:t>
            </w:r>
            <w:r w:rsidR="00C87DB3">
              <w:rPr>
                <w:rFonts w:hint="eastAsia"/>
                <w:color w:val="000000"/>
                <w:sz w:val="22"/>
              </w:rPr>
              <w:t>5.30</w:t>
            </w:r>
            <w:r>
              <w:rPr>
                <w:rFonts w:hint="eastAsia"/>
                <w:color w:val="000000"/>
                <w:sz w:val="22"/>
              </w:rPr>
              <w:t>%</w:t>
            </w:r>
            <w:r>
              <w:rPr>
                <w:rFonts w:hint="eastAsia"/>
                <w:color w:val="000000"/>
                <w:sz w:val="22"/>
              </w:rPr>
              <w:t>×</w:t>
            </w:r>
            <w:r w:rsidR="00C87DB3">
              <w:rPr>
                <w:rFonts w:hint="eastAsia"/>
                <w:color w:val="000000"/>
                <w:sz w:val="22"/>
              </w:rPr>
              <w:t>14/365 =2,034.88</w:t>
            </w:r>
            <w:r>
              <w:rPr>
                <w:rFonts w:hint="eastAsia"/>
                <w:color w:val="000000"/>
                <w:sz w:val="22"/>
              </w:rPr>
              <w:t>元。</w:t>
            </w:r>
          </w:p>
        </w:tc>
      </w:tr>
      <w:tr w:rsidR="000223C4" w:rsidTr="000223C4">
        <w:trPr>
          <w:trHeight w:val="870"/>
        </w:trPr>
        <w:tc>
          <w:tcPr>
            <w:tcW w:w="8240" w:type="dxa"/>
            <w:gridSpan w:val="3"/>
            <w:tcBorders>
              <w:top w:val="nil"/>
              <w:left w:val="nil"/>
              <w:bottom w:val="nil"/>
              <w:right w:val="nil"/>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5</w:t>
            </w:r>
            <w:r>
              <w:rPr>
                <w:rFonts w:hint="eastAsia"/>
                <w:color w:val="000000"/>
                <w:sz w:val="22"/>
              </w:rPr>
              <w:t>天，客户预期</w:t>
            </w:r>
            <w:proofErr w:type="gramStart"/>
            <w:r>
              <w:rPr>
                <w:rFonts w:hint="eastAsia"/>
                <w:color w:val="000000"/>
                <w:sz w:val="22"/>
              </w:rPr>
              <w:t>最高年化收益率</w:t>
            </w:r>
            <w:proofErr w:type="gramEnd"/>
            <w:r>
              <w:rPr>
                <w:rFonts w:hint="eastAsia"/>
                <w:color w:val="000000"/>
                <w:sz w:val="22"/>
              </w:rPr>
              <w:t>为</w:t>
            </w:r>
            <w:r w:rsidR="00C87DB3">
              <w:rPr>
                <w:rFonts w:hint="eastAsia"/>
                <w:color w:val="000000"/>
                <w:sz w:val="22"/>
              </w:rPr>
              <w:t>5.30</w:t>
            </w:r>
            <w:r>
              <w:rPr>
                <w:rFonts w:hint="eastAsia"/>
                <w:color w:val="000000"/>
                <w:sz w:val="22"/>
              </w:rPr>
              <w:t>%</w:t>
            </w:r>
            <w:r>
              <w:rPr>
                <w:rFonts w:hint="eastAsia"/>
                <w:color w:val="000000"/>
                <w:sz w:val="22"/>
              </w:rPr>
              <w:t>，当期</w:t>
            </w:r>
            <w:proofErr w:type="gramStart"/>
            <w:r>
              <w:rPr>
                <w:rFonts w:hint="eastAsia"/>
                <w:color w:val="000000"/>
                <w:sz w:val="22"/>
              </w:rPr>
              <w:t>实际年化收益率</w:t>
            </w:r>
            <w:proofErr w:type="gramEnd"/>
            <w:r>
              <w:rPr>
                <w:rFonts w:hint="eastAsia"/>
                <w:color w:val="000000"/>
                <w:sz w:val="22"/>
              </w:rPr>
              <w:t>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5/365 =136.97</w:t>
            </w:r>
            <w:r>
              <w:rPr>
                <w:rFonts w:hint="eastAsia"/>
                <w:color w:val="000000"/>
                <w:sz w:val="22"/>
              </w:rPr>
              <w:t>元。</w:t>
            </w:r>
          </w:p>
        </w:tc>
      </w:tr>
      <w:tr w:rsidR="000223C4" w:rsidTr="000223C4">
        <w:trPr>
          <w:trHeight w:val="270"/>
        </w:trPr>
        <w:tc>
          <w:tcPr>
            <w:tcW w:w="0" w:type="auto"/>
            <w:gridSpan w:val="3"/>
            <w:tcBorders>
              <w:top w:val="nil"/>
              <w:left w:val="nil"/>
              <w:bottom w:val="nil"/>
              <w:right w:val="nil"/>
            </w:tcBorders>
            <w:shd w:val="clear" w:color="auto" w:fill="auto"/>
            <w:noWrap/>
            <w:vAlign w:val="center"/>
            <w:hideMark/>
          </w:tcPr>
          <w:p w:rsidR="000223C4" w:rsidRDefault="000223C4">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0223C4" w:rsidTr="000223C4">
        <w:trPr>
          <w:trHeight w:val="270"/>
        </w:trPr>
        <w:tc>
          <w:tcPr>
            <w:tcW w:w="0" w:type="auto"/>
            <w:tcBorders>
              <w:top w:val="nil"/>
              <w:left w:val="nil"/>
              <w:bottom w:val="nil"/>
              <w:right w:val="nil"/>
            </w:tcBorders>
            <w:shd w:val="clear" w:color="auto" w:fill="auto"/>
            <w:noWrap/>
            <w:vAlign w:val="center"/>
            <w:hideMark/>
          </w:tcPr>
          <w:p w:rsidR="000223C4" w:rsidRDefault="000223C4">
            <w:pPr>
              <w:jc w:val="cente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r>
      <w:tr w:rsidR="000223C4" w:rsidTr="000223C4">
        <w:trPr>
          <w:trHeight w:val="2730"/>
        </w:trPr>
        <w:tc>
          <w:tcPr>
            <w:tcW w:w="8240" w:type="dxa"/>
            <w:gridSpan w:val="3"/>
            <w:tcBorders>
              <w:top w:val="nil"/>
              <w:left w:val="nil"/>
              <w:bottom w:val="nil"/>
              <w:right w:val="nil"/>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0223C4" w:rsidTr="000223C4">
        <w:trPr>
          <w:trHeight w:val="270"/>
        </w:trPr>
        <w:tc>
          <w:tcPr>
            <w:tcW w:w="0" w:type="auto"/>
            <w:tcBorders>
              <w:top w:val="nil"/>
              <w:left w:val="nil"/>
              <w:bottom w:val="nil"/>
              <w:right w:val="nil"/>
            </w:tcBorders>
            <w:shd w:val="clear" w:color="auto" w:fill="auto"/>
            <w:noWrap/>
            <w:vAlign w:val="center"/>
            <w:hideMark/>
          </w:tcPr>
          <w:p w:rsidR="000223C4" w:rsidRDefault="000223C4">
            <w:pPr>
              <w:jc w:val="center"/>
              <w:rPr>
                <w:rFonts w:ascii="宋体" w:eastAsia="宋体" w:hAnsi="宋体" w:cs="宋体"/>
                <w:b/>
                <w:bCs/>
                <w:color w:val="000000"/>
                <w:szCs w:val="21"/>
              </w:rPr>
            </w:pPr>
            <w:r>
              <w:rPr>
                <w:rFonts w:hint="eastAsia"/>
                <w:b/>
                <w:bCs/>
                <w:color w:val="000000"/>
                <w:szCs w:val="21"/>
              </w:rPr>
              <w:t>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r>
      <w:tr w:rsidR="000223C4" w:rsidTr="000223C4">
        <w:trPr>
          <w:trHeight w:val="3480"/>
        </w:trPr>
        <w:tc>
          <w:tcPr>
            <w:tcW w:w="8240" w:type="dxa"/>
            <w:gridSpan w:val="3"/>
            <w:tcBorders>
              <w:top w:val="nil"/>
              <w:left w:val="nil"/>
              <w:bottom w:val="nil"/>
              <w:right w:val="nil"/>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）每个理财期间不开放赎回，理财产品在每个理财期到期日或实际终止日时一次兑付。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暂停认购和赎回权利。理财产品发行或者开放期间，如果所投资的资产发生变化，导致预期募集的资金多于投资需求，或者其他平安银行认为可能影响产品发行规模的因素，平安银行有权暂停投资者认购理财产品；理财产品到期时，如果若因市场极端情况或相关的法律、政策变动，导致使资产组合无法支付客户赎回申请，平安银行有权暂停投资者的到期赎回。</w:t>
            </w:r>
          </w:p>
        </w:tc>
      </w:tr>
      <w:tr w:rsidR="000223C4" w:rsidTr="000223C4">
        <w:trPr>
          <w:trHeight w:val="285"/>
        </w:trPr>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r>
      <w:tr w:rsidR="000223C4" w:rsidTr="000223C4">
        <w:trPr>
          <w:trHeight w:val="1395"/>
        </w:trPr>
        <w:tc>
          <w:tcPr>
            <w:tcW w:w="8240" w:type="dxa"/>
            <w:gridSpan w:val="3"/>
            <w:tcBorders>
              <w:top w:val="nil"/>
              <w:left w:val="nil"/>
              <w:bottom w:val="nil"/>
              <w:right w:val="nil"/>
            </w:tcBorders>
            <w:shd w:val="clear" w:color="auto" w:fill="auto"/>
            <w:vAlign w:val="center"/>
            <w:hideMark/>
          </w:tcPr>
          <w:p w:rsidR="000223C4" w:rsidRDefault="000223C4">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w:t>
            </w:r>
            <w:r>
              <w:rPr>
                <w:rFonts w:hint="eastAsia"/>
                <w:b/>
                <w:bCs/>
                <w:color w:val="000000"/>
                <w:sz w:val="22"/>
              </w:rPr>
              <w:t>-</w:t>
            </w:r>
            <w:r>
              <w:rPr>
                <w:rFonts w:hint="eastAsia"/>
                <w:b/>
                <w:bCs/>
                <w:color w:val="000000"/>
                <w:sz w:val="22"/>
              </w:rPr>
              <w:t>双周添利（滚动）现金管理类</w:t>
            </w:r>
            <w:r>
              <w:rPr>
                <w:rFonts w:hint="eastAsia"/>
                <w:b/>
                <w:bCs/>
                <w:color w:val="000000"/>
                <w:sz w:val="22"/>
              </w:rPr>
              <w:t>2011</w:t>
            </w:r>
            <w:r>
              <w:rPr>
                <w:rFonts w:hint="eastAsia"/>
                <w:b/>
                <w:bCs/>
                <w:color w:val="000000"/>
                <w:sz w:val="22"/>
              </w:rPr>
              <w:t>年</w:t>
            </w:r>
            <w:r>
              <w:rPr>
                <w:rFonts w:hint="eastAsia"/>
                <w:b/>
                <w:bCs/>
                <w:color w:val="000000"/>
                <w:sz w:val="22"/>
              </w:rPr>
              <w:t>300</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0223C4" w:rsidTr="000223C4">
        <w:trPr>
          <w:trHeight w:val="285"/>
        </w:trPr>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r>
      <w:tr w:rsidR="000223C4" w:rsidTr="000223C4">
        <w:trPr>
          <w:trHeight w:val="825"/>
        </w:trPr>
        <w:tc>
          <w:tcPr>
            <w:tcW w:w="8240" w:type="dxa"/>
            <w:gridSpan w:val="3"/>
            <w:tcBorders>
              <w:top w:val="nil"/>
              <w:left w:val="nil"/>
              <w:bottom w:val="nil"/>
              <w:right w:val="nil"/>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0223C4" w:rsidTr="000223C4">
        <w:trPr>
          <w:trHeight w:val="570"/>
        </w:trPr>
        <w:tc>
          <w:tcPr>
            <w:tcW w:w="8240" w:type="dxa"/>
            <w:gridSpan w:val="3"/>
            <w:tcBorders>
              <w:top w:val="nil"/>
              <w:left w:val="nil"/>
              <w:bottom w:val="nil"/>
              <w:right w:val="nil"/>
            </w:tcBorders>
            <w:shd w:val="clear" w:color="auto" w:fill="auto"/>
            <w:vAlign w:val="center"/>
            <w:hideMark/>
          </w:tcPr>
          <w:p w:rsidR="000223C4" w:rsidRDefault="000223C4">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0223C4" w:rsidTr="000223C4">
        <w:trPr>
          <w:trHeight w:val="270"/>
        </w:trPr>
        <w:tc>
          <w:tcPr>
            <w:tcW w:w="0" w:type="auto"/>
            <w:gridSpan w:val="2"/>
            <w:tcBorders>
              <w:top w:val="nil"/>
              <w:left w:val="nil"/>
              <w:bottom w:val="nil"/>
              <w:right w:val="nil"/>
            </w:tcBorders>
            <w:shd w:val="clear" w:color="auto" w:fill="auto"/>
            <w:noWrap/>
            <w:vAlign w:val="center"/>
            <w:hideMark/>
          </w:tcPr>
          <w:p w:rsidR="000223C4" w:rsidRDefault="000223C4">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r>
      <w:tr w:rsidR="000223C4" w:rsidTr="000223C4">
        <w:trPr>
          <w:trHeight w:val="270"/>
        </w:trPr>
        <w:tc>
          <w:tcPr>
            <w:tcW w:w="0" w:type="auto"/>
            <w:gridSpan w:val="3"/>
            <w:tcBorders>
              <w:top w:val="nil"/>
              <w:left w:val="nil"/>
              <w:bottom w:val="nil"/>
              <w:right w:val="nil"/>
            </w:tcBorders>
            <w:shd w:val="clear" w:color="auto" w:fill="auto"/>
            <w:noWrap/>
            <w:vAlign w:val="center"/>
            <w:hideMark/>
          </w:tcPr>
          <w:p w:rsidR="000223C4" w:rsidRDefault="000223C4">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0223C4" w:rsidTr="000223C4">
        <w:trPr>
          <w:trHeight w:val="1875"/>
        </w:trPr>
        <w:tc>
          <w:tcPr>
            <w:tcW w:w="8240" w:type="dxa"/>
            <w:gridSpan w:val="3"/>
            <w:tcBorders>
              <w:top w:val="nil"/>
              <w:left w:val="nil"/>
              <w:bottom w:val="nil"/>
              <w:right w:val="nil"/>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0223C4" w:rsidTr="000223C4">
        <w:trPr>
          <w:trHeight w:val="270"/>
        </w:trPr>
        <w:tc>
          <w:tcPr>
            <w:tcW w:w="0" w:type="auto"/>
            <w:gridSpan w:val="2"/>
            <w:tcBorders>
              <w:top w:val="nil"/>
              <w:left w:val="nil"/>
              <w:bottom w:val="nil"/>
              <w:right w:val="nil"/>
            </w:tcBorders>
            <w:shd w:val="clear" w:color="auto" w:fill="auto"/>
            <w:noWrap/>
            <w:vAlign w:val="center"/>
            <w:hideMark/>
          </w:tcPr>
          <w:p w:rsidR="000223C4" w:rsidRDefault="000223C4">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r>
      <w:tr w:rsidR="000223C4" w:rsidTr="000223C4">
        <w:trPr>
          <w:trHeight w:val="3015"/>
        </w:trPr>
        <w:tc>
          <w:tcPr>
            <w:tcW w:w="8240" w:type="dxa"/>
            <w:gridSpan w:val="3"/>
            <w:tcBorders>
              <w:top w:val="nil"/>
              <w:left w:val="nil"/>
              <w:bottom w:val="nil"/>
              <w:right w:val="nil"/>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计划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w:t>
            </w:r>
            <w:proofErr w:type="gramStart"/>
            <w:r>
              <w:rPr>
                <w:rFonts w:hint="eastAsia"/>
                <w:color w:val="000000"/>
                <w:sz w:val="22"/>
              </w:rPr>
              <w:t>其他第三</w:t>
            </w:r>
            <w:proofErr w:type="gramEnd"/>
            <w:r>
              <w:rPr>
                <w:rFonts w:hint="eastAsia"/>
                <w:color w:val="000000"/>
                <w:sz w:val="22"/>
              </w:rPr>
              <w:t>方造成损失，均由违约投资者承担经济赔偿责任；同时平安银行有权代表本期理财计划向责任方依法追偿，追偿所得在扣除追偿费用后计入本期理财产品资产。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中国国际经济贸易仲裁委员会华南分会仲裁解决。</w:t>
            </w:r>
          </w:p>
        </w:tc>
      </w:tr>
      <w:tr w:rsidR="000223C4" w:rsidTr="000223C4">
        <w:trPr>
          <w:trHeight w:val="285"/>
        </w:trPr>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r>
      <w:tr w:rsidR="000223C4" w:rsidTr="000223C4">
        <w:trPr>
          <w:trHeight w:val="3660"/>
        </w:trPr>
        <w:tc>
          <w:tcPr>
            <w:tcW w:w="8240" w:type="dxa"/>
            <w:gridSpan w:val="3"/>
            <w:tcBorders>
              <w:top w:val="nil"/>
              <w:left w:val="nil"/>
              <w:bottom w:val="nil"/>
              <w:right w:val="nil"/>
            </w:tcBorders>
            <w:shd w:val="clear" w:color="auto" w:fill="auto"/>
            <w:vAlign w:val="center"/>
            <w:hideMark/>
          </w:tcPr>
          <w:p w:rsidR="000223C4" w:rsidRDefault="000223C4">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0223C4" w:rsidTr="000223C4">
        <w:trPr>
          <w:trHeight w:val="525"/>
        </w:trPr>
        <w:tc>
          <w:tcPr>
            <w:tcW w:w="8240" w:type="dxa"/>
            <w:gridSpan w:val="3"/>
            <w:tcBorders>
              <w:top w:val="nil"/>
              <w:left w:val="nil"/>
              <w:bottom w:val="nil"/>
              <w:right w:val="nil"/>
            </w:tcBorders>
            <w:shd w:val="clear" w:color="auto" w:fill="auto"/>
            <w:vAlign w:val="center"/>
            <w:hideMark/>
          </w:tcPr>
          <w:p w:rsidR="000223C4" w:rsidRDefault="000223C4">
            <w:pPr>
              <w:jc w:val="center"/>
              <w:rPr>
                <w:rFonts w:ascii="宋体" w:eastAsia="宋体" w:hAnsi="宋体" w:cs="宋体"/>
                <w:color w:val="000000"/>
                <w:sz w:val="22"/>
              </w:rPr>
            </w:pPr>
            <w:r>
              <w:rPr>
                <w:rFonts w:hint="eastAsia"/>
                <w:color w:val="000000"/>
                <w:sz w:val="22"/>
              </w:rPr>
              <w:t>―――――――――――――――――――――――――――――――――――――</w:t>
            </w:r>
          </w:p>
        </w:tc>
      </w:tr>
      <w:tr w:rsidR="000223C4" w:rsidTr="000223C4">
        <w:trPr>
          <w:trHeight w:val="855"/>
        </w:trPr>
        <w:tc>
          <w:tcPr>
            <w:tcW w:w="8240" w:type="dxa"/>
            <w:gridSpan w:val="3"/>
            <w:tcBorders>
              <w:top w:val="nil"/>
              <w:left w:val="nil"/>
              <w:bottom w:val="nil"/>
              <w:right w:val="nil"/>
            </w:tcBorders>
            <w:shd w:val="clear" w:color="auto" w:fill="auto"/>
            <w:vAlign w:val="center"/>
            <w:hideMark/>
          </w:tcPr>
          <w:p w:rsidR="000223C4" w:rsidRDefault="000223C4">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w:t>
            </w:r>
            <w:r>
              <w:rPr>
                <w:rFonts w:hint="eastAsia"/>
                <w:b/>
                <w:bCs/>
                <w:color w:val="000000"/>
                <w:sz w:val="22"/>
              </w:rPr>
              <w:t>-</w:t>
            </w:r>
            <w:r>
              <w:rPr>
                <w:rFonts w:hint="eastAsia"/>
                <w:b/>
                <w:bCs/>
                <w:color w:val="000000"/>
                <w:sz w:val="22"/>
              </w:rPr>
              <w:t>双周添利（滚动）现金管理类</w:t>
            </w:r>
            <w:r>
              <w:rPr>
                <w:rFonts w:hint="eastAsia"/>
                <w:b/>
                <w:bCs/>
                <w:color w:val="000000"/>
                <w:sz w:val="22"/>
              </w:rPr>
              <w:t>2011</w:t>
            </w:r>
            <w:r>
              <w:rPr>
                <w:rFonts w:hint="eastAsia"/>
                <w:b/>
                <w:bCs/>
                <w:color w:val="000000"/>
                <w:sz w:val="22"/>
              </w:rPr>
              <w:t>年</w:t>
            </w:r>
            <w:r>
              <w:rPr>
                <w:rFonts w:hint="eastAsia"/>
                <w:b/>
                <w:bCs/>
                <w:color w:val="000000"/>
                <w:sz w:val="22"/>
              </w:rPr>
              <w:t>300</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0223C4" w:rsidTr="000223C4">
        <w:trPr>
          <w:trHeight w:val="285"/>
        </w:trPr>
        <w:tc>
          <w:tcPr>
            <w:tcW w:w="0" w:type="auto"/>
            <w:tcBorders>
              <w:top w:val="nil"/>
              <w:left w:val="nil"/>
              <w:bottom w:val="nil"/>
              <w:right w:val="nil"/>
            </w:tcBorders>
            <w:shd w:val="clear" w:color="auto" w:fill="auto"/>
            <w:noWrap/>
            <w:vAlign w:val="center"/>
            <w:hideMark/>
          </w:tcPr>
          <w:p w:rsidR="000223C4" w:rsidRDefault="000223C4">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223C4" w:rsidRDefault="000223C4">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0223C4" w:rsidTr="000223C4">
        <w:trPr>
          <w:trHeight w:val="270"/>
        </w:trPr>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r>
      <w:tr w:rsidR="000223C4" w:rsidTr="000223C4">
        <w:trPr>
          <w:trHeight w:val="270"/>
        </w:trPr>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r>
      <w:tr w:rsidR="000223C4" w:rsidTr="000223C4">
        <w:trPr>
          <w:trHeight w:val="270"/>
        </w:trPr>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r>
      <w:tr w:rsidR="000223C4" w:rsidTr="000223C4">
        <w:trPr>
          <w:trHeight w:val="270"/>
        </w:trPr>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r>
      <w:tr w:rsidR="000223C4" w:rsidTr="000223C4">
        <w:trPr>
          <w:trHeight w:val="270"/>
        </w:trPr>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r>
      <w:tr w:rsidR="000223C4" w:rsidTr="000223C4">
        <w:trPr>
          <w:trHeight w:val="270"/>
        </w:trPr>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223C4" w:rsidRDefault="000223C4">
            <w:pPr>
              <w:rPr>
                <w:rFonts w:ascii="宋体" w:eastAsia="宋体" w:hAnsi="宋体" w:cs="宋体"/>
                <w:color w:val="000000"/>
                <w:sz w:val="22"/>
              </w:rPr>
            </w:pPr>
          </w:p>
        </w:tc>
      </w:tr>
    </w:tbl>
    <w:p w:rsidR="00FE5507" w:rsidRDefault="00FE5507"/>
    <w:sectPr w:rsidR="00FE5507" w:rsidSect="00FE550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332C" w:rsidRDefault="00B8332C" w:rsidP="00C87DB3">
      <w:r>
        <w:separator/>
      </w:r>
    </w:p>
  </w:endnote>
  <w:endnote w:type="continuationSeparator" w:id="0">
    <w:p w:rsidR="00B8332C" w:rsidRDefault="00B8332C" w:rsidP="00C87DB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332C" w:rsidRDefault="00B8332C" w:rsidP="00C87DB3">
      <w:r>
        <w:separator/>
      </w:r>
    </w:p>
  </w:footnote>
  <w:footnote w:type="continuationSeparator" w:id="0">
    <w:p w:rsidR="00B8332C" w:rsidRDefault="00B8332C" w:rsidP="00C87DB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223C4"/>
    <w:rsid w:val="000223C4"/>
    <w:rsid w:val="00B8332C"/>
    <w:rsid w:val="00C87DB3"/>
    <w:rsid w:val="00CB5DEB"/>
    <w:rsid w:val="00FE550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550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87DB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C87DB3"/>
    <w:rPr>
      <w:sz w:val="18"/>
      <w:szCs w:val="18"/>
    </w:rPr>
  </w:style>
  <w:style w:type="paragraph" w:styleId="a4">
    <w:name w:val="footer"/>
    <w:basedOn w:val="a"/>
    <w:link w:val="Char0"/>
    <w:uiPriority w:val="99"/>
    <w:semiHidden/>
    <w:unhideWhenUsed/>
    <w:rsid w:val="00C87DB3"/>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87DB3"/>
    <w:rPr>
      <w:sz w:val="18"/>
      <w:szCs w:val="18"/>
    </w:rPr>
  </w:style>
</w:styles>
</file>

<file path=word/webSettings.xml><?xml version="1.0" encoding="utf-8"?>
<w:webSettings xmlns:r="http://schemas.openxmlformats.org/officeDocument/2006/relationships" xmlns:w="http://schemas.openxmlformats.org/wordprocessingml/2006/main">
  <w:divs>
    <w:div w:id="2131393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834</Words>
  <Characters>4756</Characters>
  <Application>Microsoft Office Word</Application>
  <DocSecurity>0</DocSecurity>
  <Lines>39</Lines>
  <Paragraphs>11</Paragraphs>
  <ScaleCrop>false</ScaleCrop>
  <Company>sdb</Company>
  <LinksUpToDate>false</LinksUpToDate>
  <CharactersWithSpaces>5579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sdb</cp:lastModifiedBy>
  <cp:revision>2</cp:revision>
  <dcterms:created xsi:type="dcterms:W3CDTF">2014-09-01T02:52:00Z</dcterms:created>
  <dcterms:modified xsi:type="dcterms:W3CDTF">2014-09-22T06:31:00Z</dcterms:modified>
</cp:coreProperties>
</file>