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1C4938" w:rsidTr="001C4938">
        <w:trPr>
          <w:trHeight w:val="735"/>
        </w:trPr>
        <w:tc>
          <w:tcPr>
            <w:tcW w:w="8240" w:type="dxa"/>
            <w:gridSpan w:val="3"/>
            <w:tcBorders>
              <w:top w:val="nil"/>
              <w:left w:val="nil"/>
              <w:bottom w:val="nil"/>
              <w:right w:val="nil"/>
            </w:tcBorders>
            <w:shd w:val="clear" w:color="auto" w:fill="auto"/>
            <w:vAlign w:val="center"/>
            <w:hideMark/>
          </w:tcPr>
          <w:p w:rsidR="001C4938" w:rsidRDefault="001C4938">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141</w:t>
            </w:r>
            <w:r>
              <w:rPr>
                <w:rFonts w:hint="eastAsia"/>
                <w:b/>
                <w:bCs/>
                <w:color w:val="000000"/>
                <w:sz w:val="28"/>
                <w:szCs w:val="28"/>
              </w:rPr>
              <w:t>期人民币理财产品说明书</w:t>
            </w:r>
          </w:p>
        </w:tc>
      </w:tr>
      <w:tr w:rsidR="001C4938" w:rsidTr="001C4938">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C4938" w:rsidRDefault="001C4938">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1C4938" w:rsidTr="001C4938">
        <w:trPr>
          <w:trHeight w:val="285"/>
        </w:trPr>
        <w:tc>
          <w:tcPr>
            <w:tcW w:w="0" w:type="auto"/>
            <w:tcBorders>
              <w:top w:val="nil"/>
              <w:left w:val="nil"/>
              <w:bottom w:val="nil"/>
              <w:right w:val="nil"/>
            </w:tcBorders>
            <w:shd w:val="clear" w:color="auto" w:fill="auto"/>
            <w:noWrap/>
            <w:vAlign w:val="center"/>
            <w:hideMark/>
          </w:tcPr>
          <w:p w:rsidR="001C4938" w:rsidRDefault="001C4938">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1C4938" w:rsidRDefault="001C493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1C4938" w:rsidRDefault="001C4938">
            <w:pPr>
              <w:rPr>
                <w:rFonts w:ascii="宋体" w:eastAsia="宋体" w:hAnsi="宋体" w:cs="宋体"/>
                <w:color w:val="000000"/>
                <w:sz w:val="22"/>
              </w:rPr>
            </w:pPr>
          </w:p>
        </w:tc>
      </w:tr>
      <w:tr w:rsidR="001C4938" w:rsidTr="001C4938">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938" w:rsidRDefault="001C4938">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C4938" w:rsidRDefault="001C4938">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141</w:t>
            </w:r>
            <w:r>
              <w:rPr>
                <w:rFonts w:hint="eastAsia"/>
                <w:b/>
                <w:bCs/>
                <w:color w:val="000000"/>
                <w:sz w:val="22"/>
              </w:rPr>
              <w:t>期人民币理财产品</w:t>
            </w:r>
          </w:p>
        </w:tc>
      </w:tr>
      <w:tr w:rsidR="001C4938" w:rsidTr="001C49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4938" w:rsidRDefault="001C4938">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“一级”低风险</w:t>
            </w:r>
          </w:p>
        </w:tc>
      </w:tr>
      <w:tr w:rsidR="001C4938" w:rsidTr="001C49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4938" w:rsidRDefault="001C4938">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1C4938" w:rsidTr="001C4938">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4938" w:rsidRDefault="001C4938">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1C4938" w:rsidTr="001C49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4938" w:rsidRDefault="001C4938">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人民币</w:t>
            </w:r>
          </w:p>
        </w:tc>
      </w:tr>
      <w:tr w:rsidR="001C4938" w:rsidTr="001C49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4938" w:rsidRDefault="001C4938">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保本浮动收益型产品</w:t>
            </w:r>
          </w:p>
        </w:tc>
      </w:tr>
      <w:tr w:rsidR="001C4938" w:rsidTr="001C49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4938" w:rsidRDefault="001C4938">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1C4938" w:rsidTr="001C49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4938" w:rsidRDefault="001C4938">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1C4938" w:rsidTr="001C49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4938" w:rsidRDefault="001C4938">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w:t>
            </w:r>
            <w:proofErr w:type="gramStart"/>
            <w:r>
              <w:rPr>
                <w:rFonts w:hint="eastAsia"/>
                <w:color w:val="000000"/>
                <w:sz w:val="22"/>
              </w:rPr>
              <w:t>倍</w:t>
            </w:r>
            <w:proofErr w:type="gramEnd"/>
            <w:r>
              <w:rPr>
                <w:rFonts w:hint="eastAsia"/>
                <w:color w:val="000000"/>
                <w:sz w:val="22"/>
              </w:rPr>
              <w:t>元递增。</w:t>
            </w:r>
          </w:p>
        </w:tc>
      </w:tr>
      <w:tr w:rsidR="001C4938" w:rsidTr="001C4938">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4938" w:rsidRDefault="001C4938">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20</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21</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1C4938" w:rsidTr="001C49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4938" w:rsidRDefault="001C4938">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产品成立日当天</w:t>
            </w:r>
          </w:p>
        </w:tc>
      </w:tr>
      <w:tr w:rsidR="001C4938" w:rsidTr="001C4938">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4938" w:rsidRDefault="001C4938">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w:t>
            </w:r>
            <w:proofErr w:type="gramStart"/>
            <w:r>
              <w:rPr>
                <w:rFonts w:hint="eastAsia"/>
                <w:color w:val="000000"/>
                <w:sz w:val="22"/>
              </w:rPr>
              <w:t>至客户</w:t>
            </w:r>
            <w:proofErr w:type="gramEnd"/>
            <w:r>
              <w:rPr>
                <w:rFonts w:hint="eastAsia"/>
                <w:color w:val="000000"/>
                <w:sz w:val="22"/>
              </w:rPr>
              <w:t>认购账户。</w:t>
            </w:r>
          </w:p>
        </w:tc>
      </w:tr>
      <w:tr w:rsidR="001C4938" w:rsidTr="001C4938">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4938" w:rsidRDefault="001C4938">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21</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1C4938" w:rsidTr="001C4938">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4938" w:rsidRDefault="001C4938">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1C4938" w:rsidTr="001C49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4938" w:rsidRDefault="001C4938">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24</w:t>
            </w:r>
            <w:r>
              <w:rPr>
                <w:rFonts w:hint="eastAsia"/>
                <w:color w:val="000000"/>
                <w:sz w:val="22"/>
              </w:rPr>
              <w:t>日</w:t>
            </w:r>
          </w:p>
        </w:tc>
      </w:tr>
      <w:tr w:rsidR="001C4938" w:rsidTr="001C4938">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4938" w:rsidRDefault="001C4938">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1C4938" w:rsidTr="001C49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4938" w:rsidRDefault="001C4938">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平安银行股份有限公司</w:t>
            </w:r>
          </w:p>
        </w:tc>
      </w:tr>
      <w:tr w:rsidR="001C4938" w:rsidTr="001C4938">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4938" w:rsidRDefault="001C4938">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根据当期可投资资产收益率，扣除产品的成本，本期产品预期</w:t>
            </w:r>
            <w:proofErr w:type="gramStart"/>
            <w:r>
              <w:rPr>
                <w:rFonts w:hint="eastAsia"/>
                <w:color w:val="000000"/>
                <w:sz w:val="22"/>
              </w:rPr>
              <w:t>最高年化收益率</w:t>
            </w:r>
            <w:proofErr w:type="gramEnd"/>
            <w:r>
              <w:rPr>
                <w:rFonts w:hint="eastAsia"/>
                <w:color w:val="000000"/>
                <w:sz w:val="22"/>
              </w:rPr>
              <w:t>为</w:t>
            </w:r>
            <w:r w:rsidR="001A74A1">
              <w:rPr>
                <w:rFonts w:hint="eastAsia"/>
                <w:color w:val="000000"/>
                <w:sz w:val="22"/>
              </w:rPr>
              <w:t>3.40</w:t>
            </w:r>
            <w:r>
              <w:rPr>
                <w:rFonts w:hint="eastAsia"/>
                <w:color w:val="000000"/>
                <w:sz w:val="22"/>
              </w:rPr>
              <w:t>%</w:t>
            </w:r>
            <w:r>
              <w:rPr>
                <w:rFonts w:hint="eastAsia"/>
                <w:color w:val="000000"/>
                <w:sz w:val="22"/>
              </w:rPr>
              <w:t>。超过预期</w:t>
            </w:r>
            <w:proofErr w:type="gramStart"/>
            <w:r>
              <w:rPr>
                <w:rFonts w:hint="eastAsia"/>
                <w:color w:val="000000"/>
                <w:sz w:val="22"/>
              </w:rPr>
              <w:t>最高年化收益率</w:t>
            </w:r>
            <w:proofErr w:type="gramEnd"/>
            <w:r>
              <w:rPr>
                <w:rFonts w:hint="eastAsia"/>
                <w:color w:val="000000"/>
                <w:sz w:val="22"/>
              </w:rPr>
              <w:t>的收益部分作为平安银行的手续费。平安银行有权根据理财产品资金运作情况调整预期</w:t>
            </w:r>
            <w:proofErr w:type="gramStart"/>
            <w:r>
              <w:rPr>
                <w:rFonts w:hint="eastAsia"/>
                <w:color w:val="000000"/>
                <w:sz w:val="22"/>
              </w:rPr>
              <w:t>最高年化收益率</w:t>
            </w:r>
            <w:proofErr w:type="gramEnd"/>
            <w:r>
              <w:rPr>
                <w:rFonts w:hint="eastAsia"/>
                <w:color w:val="000000"/>
                <w:sz w:val="22"/>
              </w:rPr>
              <w:t>，以后各期预期</w:t>
            </w:r>
            <w:proofErr w:type="gramStart"/>
            <w:r>
              <w:rPr>
                <w:rFonts w:hint="eastAsia"/>
                <w:color w:val="000000"/>
                <w:sz w:val="22"/>
              </w:rPr>
              <w:t>最高年化收益率</w:t>
            </w:r>
            <w:proofErr w:type="gramEnd"/>
            <w:r>
              <w:rPr>
                <w:rFonts w:hint="eastAsia"/>
                <w:color w:val="000000"/>
                <w:sz w:val="22"/>
              </w:rPr>
              <w:t>详见平安银行网站当期信息公告。</w:t>
            </w:r>
          </w:p>
        </w:tc>
      </w:tr>
      <w:tr w:rsidR="001C4938" w:rsidTr="001C493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4938" w:rsidRDefault="001C4938">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1C4938" w:rsidTr="001C4938">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4938" w:rsidRDefault="001C4938">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w:t>
            </w:r>
            <w:proofErr w:type="gramStart"/>
            <w:r>
              <w:rPr>
                <w:rFonts w:hint="eastAsia"/>
                <w:color w:val="000000"/>
                <w:sz w:val="22"/>
              </w:rPr>
              <w:t>一</w:t>
            </w:r>
            <w:proofErr w:type="gramEnd"/>
            <w:r>
              <w:rPr>
                <w:rFonts w:hint="eastAsia"/>
                <w:color w:val="000000"/>
                <w:sz w:val="22"/>
              </w:rPr>
              <w:t>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1C4938" w:rsidTr="001C49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4938" w:rsidRDefault="001C4938">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国家法定工作日</w:t>
            </w:r>
          </w:p>
        </w:tc>
      </w:tr>
      <w:tr w:rsidR="001C4938" w:rsidTr="001C4938">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4938" w:rsidRDefault="001C4938">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×实际存续天数</w:t>
            </w:r>
          </w:p>
        </w:tc>
      </w:tr>
      <w:tr w:rsidR="001C4938" w:rsidTr="001C49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4938" w:rsidRDefault="001C4938">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理财收益的应纳税款由投资者自行申报及缴纳</w:t>
            </w:r>
          </w:p>
        </w:tc>
      </w:tr>
      <w:tr w:rsidR="001C4938" w:rsidTr="001C4938">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4938" w:rsidRDefault="001C4938">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1C4938" w:rsidTr="001C4938">
        <w:trPr>
          <w:trHeight w:val="285"/>
        </w:trPr>
        <w:tc>
          <w:tcPr>
            <w:tcW w:w="0" w:type="auto"/>
            <w:tcBorders>
              <w:top w:val="nil"/>
              <w:left w:val="nil"/>
              <w:bottom w:val="nil"/>
              <w:right w:val="nil"/>
            </w:tcBorders>
            <w:shd w:val="clear" w:color="auto" w:fill="auto"/>
            <w:noWrap/>
            <w:vAlign w:val="center"/>
            <w:hideMark/>
          </w:tcPr>
          <w:p w:rsidR="001C4938" w:rsidRDefault="001C4938">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1C4938" w:rsidRDefault="001C493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1C4938" w:rsidRDefault="001C4938">
            <w:pPr>
              <w:rPr>
                <w:rFonts w:ascii="宋体" w:eastAsia="宋体" w:hAnsi="宋体" w:cs="宋体"/>
                <w:color w:val="000000"/>
                <w:sz w:val="22"/>
              </w:rPr>
            </w:pPr>
          </w:p>
        </w:tc>
      </w:tr>
      <w:tr w:rsidR="001C4938" w:rsidTr="001C4938">
        <w:trPr>
          <w:trHeight w:val="945"/>
        </w:trPr>
        <w:tc>
          <w:tcPr>
            <w:tcW w:w="8240" w:type="dxa"/>
            <w:gridSpan w:val="3"/>
            <w:tcBorders>
              <w:top w:val="nil"/>
              <w:left w:val="nil"/>
              <w:bottom w:val="nil"/>
              <w:right w:val="nil"/>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w:t>
            </w:r>
          </w:p>
        </w:tc>
      </w:tr>
      <w:tr w:rsidR="001C4938" w:rsidTr="001C493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938" w:rsidRDefault="001C4938">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1C4938" w:rsidRDefault="001C4938">
            <w:pPr>
              <w:jc w:val="center"/>
              <w:rPr>
                <w:rFonts w:ascii="宋体" w:eastAsia="宋体" w:hAnsi="宋体" w:cs="宋体"/>
                <w:color w:val="000000"/>
                <w:szCs w:val="21"/>
              </w:rPr>
            </w:pPr>
            <w:r>
              <w:rPr>
                <w:rFonts w:hint="eastAsia"/>
                <w:color w:val="000000"/>
                <w:szCs w:val="21"/>
              </w:rPr>
              <w:t>投资比例</w:t>
            </w:r>
          </w:p>
        </w:tc>
      </w:tr>
      <w:tr w:rsidR="001C4938" w:rsidTr="001C493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938" w:rsidRDefault="001C4938">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1C4938" w:rsidRDefault="001C4938">
            <w:pPr>
              <w:jc w:val="center"/>
              <w:rPr>
                <w:rFonts w:ascii="宋体" w:eastAsia="宋体" w:hAnsi="宋体" w:cs="宋体"/>
                <w:color w:val="000000"/>
                <w:szCs w:val="21"/>
              </w:rPr>
            </w:pPr>
            <w:r>
              <w:rPr>
                <w:rFonts w:hint="eastAsia"/>
                <w:color w:val="000000"/>
                <w:szCs w:val="21"/>
              </w:rPr>
              <w:t>0-20%</w:t>
            </w:r>
          </w:p>
        </w:tc>
      </w:tr>
      <w:tr w:rsidR="001C4938" w:rsidTr="001C493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938" w:rsidRDefault="001C4938">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1C4938" w:rsidRDefault="001C4938">
            <w:pPr>
              <w:jc w:val="center"/>
              <w:rPr>
                <w:rFonts w:ascii="宋体" w:eastAsia="宋体" w:hAnsi="宋体" w:cs="宋体"/>
                <w:color w:val="000000"/>
                <w:szCs w:val="21"/>
              </w:rPr>
            </w:pPr>
            <w:r>
              <w:rPr>
                <w:rFonts w:hint="eastAsia"/>
                <w:color w:val="000000"/>
                <w:szCs w:val="21"/>
              </w:rPr>
              <w:t>10-100%</w:t>
            </w:r>
          </w:p>
        </w:tc>
      </w:tr>
      <w:tr w:rsidR="001C4938" w:rsidTr="001C493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938" w:rsidRDefault="001C4938">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1C4938" w:rsidRDefault="001C4938">
            <w:pPr>
              <w:jc w:val="center"/>
              <w:rPr>
                <w:rFonts w:ascii="宋体" w:eastAsia="宋体" w:hAnsi="宋体" w:cs="宋体"/>
                <w:color w:val="000000"/>
                <w:szCs w:val="21"/>
              </w:rPr>
            </w:pPr>
            <w:r>
              <w:rPr>
                <w:rFonts w:hint="eastAsia"/>
                <w:color w:val="000000"/>
                <w:szCs w:val="21"/>
              </w:rPr>
              <w:t>0-90%</w:t>
            </w:r>
          </w:p>
        </w:tc>
      </w:tr>
      <w:tr w:rsidR="001C4938" w:rsidTr="001C4938">
        <w:trPr>
          <w:trHeight w:val="1125"/>
        </w:trPr>
        <w:tc>
          <w:tcPr>
            <w:tcW w:w="8240" w:type="dxa"/>
            <w:gridSpan w:val="3"/>
            <w:tcBorders>
              <w:top w:val="nil"/>
              <w:left w:val="nil"/>
              <w:bottom w:val="nil"/>
              <w:right w:val="nil"/>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1C4938" w:rsidTr="001C4938">
        <w:trPr>
          <w:trHeight w:val="285"/>
        </w:trPr>
        <w:tc>
          <w:tcPr>
            <w:tcW w:w="0" w:type="auto"/>
            <w:gridSpan w:val="3"/>
            <w:tcBorders>
              <w:top w:val="nil"/>
              <w:left w:val="nil"/>
              <w:bottom w:val="nil"/>
              <w:right w:val="nil"/>
            </w:tcBorders>
            <w:shd w:val="clear" w:color="auto" w:fill="auto"/>
            <w:noWrap/>
            <w:vAlign w:val="center"/>
            <w:hideMark/>
          </w:tcPr>
          <w:p w:rsidR="001C4938" w:rsidRDefault="001C4938">
            <w:pPr>
              <w:rPr>
                <w:rFonts w:ascii="宋体" w:eastAsia="宋体" w:hAnsi="宋体" w:cs="宋体"/>
                <w:b/>
                <w:bCs/>
                <w:color w:val="000000"/>
                <w:sz w:val="24"/>
                <w:szCs w:val="24"/>
              </w:rPr>
            </w:pPr>
            <w:r>
              <w:rPr>
                <w:rFonts w:hint="eastAsia"/>
                <w:b/>
                <w:bCs/>
                <w:color w:val="000000"/>
              </w:rPr>
              <w:t>三、理财产品费用、收益分析与计算</w:t>
            </w:r>
          </w:p>
        </w:tc>
      </w:tr>
      <w:tr w:rsidR="001C4938" w:rsidTr="001C4938">
        <w:trPr>
          <w:trHeight w:val="270"/>
        </w:trPr>
        <w:tc>
          <w:tcPr>
            <w:tcW w:w="0" w:type="auto"/>
            <w:gridSpan w:val="3"/>
            <w:tcBorders>
              <w:top w:val="nil"/>
              <w:left w:val="nil"/>
              <w:bottom w:val="nil"/>
              <w:right w:val="nil"/>
            </w:tcBorders>
            <w:shd w:val="clear" w:color="auto" w:fill="auto"/>
            <w:noWrap/>
            <w:vAlign w:val="center"/>
            <w:hideMark/>
          </w:tcPr>
          <w:p w:rsidR="001C4938" w:rsidRDefault="001C4938">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1C4938" w:rsidTr="001C4938">
        <w:trPr>
          <w:trHeight w:val="2955"/>
        </w:trPr>
        <w:tc>
          <w:tcPr>
            <w:tcW w:w="8240" w:type="dxa"/>
            <w:gridSpan w:val="3"/>
            <w:tcBorders>
              <w:top w:val="nil"/>
              <w:left w:val="nil"/>
              <w:bottom w:val="nil"/>
              <w:right w:val="nil"/>
            </w:tcBorders>
            <w:shd w:val="clear" w:color="auto" w:fill="auto"/>
            <w:vAlign w:val="center"/>
            <w:hideMark/>
          </w:tcPr>
          <w:p w:rsidR="001C4938" w:rsidRDefault="001C4938">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w:t>
            </w:r>
            <w:proofErr w:type="gramStart"/>
            <w:r>
              <w:rPr>
                <w:rFonts w:hint="eastAsia"/>
                <w:sz w:val="22"/>
              </w:rPr>
              <w:t>完客户</w:t>
            </w:r>
            <w:proofErr w:type="gramEnd"/>
            <w:r>
              <w:rPr>
                <w:rFonts w:hint="eastAsia"/>
                <w:sz w:val="22"/>
              </w:rPr>
              <w:t>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1C4938" w:rsidTr="001C4938">
        <w:trPr>
          <w:trHeight w:val="270"/>
        </w:trPr>
        <w:tc>
          <w:tcPr>
            <w:tcW w:w="0" w:type="auto"/>
            <w:gridSpan w:val="3"/>
            <w:tcBorders>
              <w:top w:val="nil"/>
              <w:left w:val="nil"/>
              <w:bottom w:val="nil"/>
              <w:right w:val="nil"/>
            </w:tcBorders>
            <w:shd w:val="clear" w:color="auto" w:fill="auto"/>
            <w:noWrap/>
            <w:vAlign w:val="center"/>
            <w:hideMark/>
          </w:tcPr>
          <w:p w:rsidR="001C4938" w:rsidRDefault="001C4938">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w:t>
            </w:r>
            <w:proofErr w:type="gramStart"/>
            <w:r>
              <w:rPr>
                <w:rFonts w:hint="eastAsia"/>
                <w:b/>
                <w:bCs/>
                <w:color w:val="000000"/>
                <w:szCs w:val="21"/>
              </w:rPr>
              <w:t>最高年化收益率</w:t>
            </w:r>
            <w:proofErr w:type="gramEnd"/>
            <w:r>
              <w:rPr>
                <w:rFonts w:hint="eastAsia"/>
                <w:b/>
                <w:bCs/>
                <w:color w:val="000000"/>
                <w:szCs w:val="21"/>
              </w:rPr>
              <w:t>：</w:t>
            </w:r>
            <w:r w:rsidR="001A74A1">
              <w:rPr>
                <w:rFonts w:hint="eastAsia"/>
                <w:b/>
                <w:bCs/>
                <w:color w:val="000000"/>
                <w:szCs w:val="21"/>
              </w:rPr>
              <w:t>3.40</w:t>
            </w:r>
            <w:r>
              <w:rPr>
                <w:rFonts w:hint="eastAsia"/>
                <w:b/>
                <w:bCs/>
                <w:color w:val="000000"/>
                <w:szCs w:val="21"/>
              </w:rPr>
              <w:t>%</w:t>
            </w:r>
          </w:p>
        </w:tc>
      </w:tr>
      <w:tr w:rsidR="001C4938" w:rsidTr="001C4938">
        <w:trPr>
          <w:trHeight w:val="555"/>
        </w:trPr>
        <w:tc>
          <w:tcPr>
            <w:tcW w:w="8240" w:type="dxa"/>
            <w:gridSpan w:val="3"/>
            <w:tcBorders>
              <w:top w:val="nil"/>
              <w:left w:val="nil"/>
              <w:bottom w:val="nil"/>
              <w:right w:val="nil"/>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 xml:space="preserve">    </w:t>
            </w:r>
            <w:r>
              <w:rPr>
                <w:rFonts w:hint="eastAsia"/>
                <w:color w:val="000000"/>
                <w:sz w:val="22"/>
              </w:rPr>
              <w:t>客户预期</w:t>
            </w:r>
            <w:proofErr w:type="gramStart"/>
            <w:r>
              <w:rPr>
                <w:rFonts w:hint="eastAsia"/>
                <w:color w:val="000000"/>
                <w:sz w:val="22"/>
              </w:rPr>
              <w:t>最高年化收益率</w:t>
            </w:r>
            <w:proofErr w:type="gramEnd"/>
            <w:r>
              <w:rPr>
                <w:rFonts w:hint="eastAsia"/>
                <w:color w:val="000000"/>
                <w:sz w:val="22"/>
              </w:rPr>
              <w:t>根据当前可投资资产的预期加权投资收益率扣除银行销售手续费率、资产管理费率后测算而得。</w:t>
            </w:r>
          </w:p>
        </w:tc>
      </w:tr>
      <w:tr w:rsidR="001C4938" w:rsidTr="001C4938">
        <w:trPr>
          <w:trHeight w:val="270"/>
        </w:trPr>
        <w:tc>
          <w:tcPr>
            <w:tcW w:w="0" w:type="auto"/>
            <w:gridSpan w:val="2"/>
            <w:tcBorders>
              <w:top w:val="nil"/>
              <w:left w:val="nil"/>
              <w:bottom w:val="nil"/>
              <w:right w:val="nil"/>
            </w:tcBorders>
            <w:shd w:val="clear" w:color="auto" w:fill="auto"/>
            <w:noWrap/>
            <w:vAlign w:val="center"/>
            <w:hideMark/>
          </w:tcPr>
          <w:p w:rsidR="001C4938" w:rsidRDefault="001C4938">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1C4938" w:rsidRDefault="001C4938">
            <w:pPr>
              <w:rPr>
                <w:rFonts w:ascii="宋体" w:eastAsia="宋体" w:hAnsi="宋体" w:cs="宋体"/>
                <w:color w:val="000000"/>
                <w:sz w:val="22"/>
              </w:rPr>
            </w:pPr>
          </w:p>
        </w:tc>
      </w:tr>
      <w:tr w:rsidR="001C4938" w:rsidTr="001C4938">
        <w:trPr>
          <w:trHeight w:val="555"/>
        </w:trPr>
        <w:tc>
          <w:tcPr>
            <w:tcW w:w="8240" w:type="dxa"/>
            <w:gridSpan w:val="3"/>
            <w:tcBorders>
              <w:top w:val="nil"/>
              <w:left w:val="nil"/>
              <w:bottom w:val="nil"/>
              <w:right w:val="nil"/>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w:t>
            </w:r>
            <w:proofErr w:type="gramStart"/>
            <w:r>
              <w:rPr>
                <w:rFonts w:hint="eastAsia"/>
                <w:color w:val="000000"/>
                <w:sz w:val="22"/>
              </w:rPr>
              <w:t>实际年化收益率</w:t>
            </w:r>
            <w:proofErr w:type="gramEnd"/>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1C4938" w:rsidTr="001C4938">
        <w:trPr>
          <w:trHeight w:val="270"/>
        </w:trPr>
        <w:tc>
          <w:tcPr>
            <w:tcW w:w="0" w:type="auto"/>
            <w:gridSpan w:val="2"/>
            <w:tcBorders>
              <w:top w:val="nil"/>
              <w:left w:val="nil"/>
              <w:bottom w:val="nil"/>
              <w:right w:val="nil"/>
            </w:tcBorders>
            <w:shd w:val="clear" w:color="auto" w:fill="auto"/>
            <w:noWrap/>
            <w:vAlign w:val="center"/>
            <w:hideMark/>
          </w:tcPr>
          <w:p w:rsidR="001C4938" w:rsidRDefault="001C4938">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1C4938" w:rsidRDefault="001C4938">
            <w:pPr>
              <w:rPr>
                <w:rFonts w:ascii="宋体" w:eastAsia="宋体" w:hAnsi="宋体" w:cs="宋体"/>
                <w:color w:val="000000"/>
                <w:sz w:val="22"/>
              </w:rPr>
            </w:pPr>
          </w:p>
        </w:tc>
      </w:tr>
      <w:tr w:rsidR="001C4938" w:rsidTr="001C4938">
        <w:trPr>
          <w:trHeight w:val="1080"/>
        </w:trPr>
        <w:tc>
          <w:tcPr>
            <w:tcW w:w="8240" w:type="dxa"/>
            <w:gridSpan w:val="3"/>
            <w:tcBorders>
              <w:top w:val="nil"/>
              <w:left w:val="nil"/>
              <w:bottom w:val="nil"/>
              <w:right w:val="nil"/>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、中期票据等）等资产。根据组合资产的收益，扣除产品的成本，本期理财产品预期</w:t>
            </w:r>
            <w:proofErr w:type="gramStart"/>
            <w:r>
              <w:rPr>
                <w:rFonts w:hint="eastAsia"/>
                <w:color w:val="000000"/>
                <w:sz w:val="22"/>
              </w:rPr>
              <w:t>最高年化收益率</w:t>
            </w:r>
            <w:proofErr w:type="gramEnd"/>
            <w:r>
              <w:rPr>
                <w:rFonts w:hint="eastAsia"/>
                <w:color w:val="000000"/>
                <w:sz w:val="22"/>
              </w:rPr>
              <w:t>为</w:t>
            </w:r>
            <w:r w:rsidR="001A74A1">
              <w:rPr>
                <w:rFonts w:hint="eastAsia"/>
                <w:color w:val="000000"/>
                <w:sz w:val="22"/>
              </w:rPr>
              <w:t>3.40</w:t>
            </w:r>
            <w:r>
              <w:rPr>
                <w:rFonts w:hint="eastAsia"/>
                <w:color w:val="000000"/>
                <w:sz w:val="22"/>
              </w:rPr>
              <w:t>%</w:t>
            </w:r>
          </w:p>
        </w:tc>
      </w:tr>
      <w:tr w:rsidR="001C4938" w:rsidTr="001C4938">
        <w:trPr>
          <w:trHeight w:val="270"/>
        </w:trPr>
        <w:tc>
          <w:tcPr>
            <w:tcW w:w="0" w:type="auto"/>
            <w:gridSpan w:val="3"/>
            <w:tcBorders>
              <w:top w:val="nil"/>
              <w:left w:val="nil"/>
              <w:bottom w:val="nil"/>
              <w:right w:val="nil"/>
            </w:tcBorders>
            <w:shd w:val="clear" w:color="auto" w:fill="auto"/>
            <w:noWrap/>
            <w:vAlign w:val="center"/>
            <w:hideMark/>
          </w:tcPr>
          <w:p w:rsidR="001C4938" w:rsidRDefault="001C4938">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1C4938" w:rsidTr="001C4938">
        <w:trPr>
          <w:trHeight w:val="270"/>
        </w:trPr>
        <w:tc>
          <w:tcPr>
            <w:tcW w:w="0" w:type="auto"/>
            <w:tcBorders>
              <w:top w:val="nil"/>
              <w:left w:val="nil"/>
              <w:bottom w:val="nil"/>
              <w:right w:val="nil"/>
            </w:tcBorders>
            <w:shd w:val="clear" w:color="auto" w:fill="auto"/>
            <w:noWrap/>
            <w:vAlign w:val="center"/>
            <w:hideMark/>
          </w:tcPr>
          <w:p w:rsidR="001C4938" w:rsidRDefault="001C4938">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1C4938" w:rsidRDefault="001C493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1C4938" w:rsidRDefault="001C4938">
            <w:pPr>
              <w:rPr>
                <w:rFonts w:ascii="宋体" w:eastAsia="宋体" w:hAnsi="宋体" w:cs="宋体"/>
                <w:color w:val="000000"/>
                <w:sz w:val="22"/>
              </w:rPr>
            </w:pPr>
          </w:p>
        </w:tc>
      </w:tr>
      <w:tr w:rsidR="001C4938" w:rsidTr="001C4938">
        <w:trPr>
          <w:trHeight w:val="270"/>
        </w:trPr>
        <w:tc>
          <w:tcPr>
            <w:tcW w:w="8240" w:type="dxa"/>
            <w:gridSpan w:val="3"/>
            <w:tcBorders>
              <w:top w:val="nil"/>
              <w:left w:val="nil"/>
              <w:bottom w:val="nil"/>
              <w:right w:val="nil"/>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1C4938" w:rsidTr="001C4938">
        <w:trPr>
          <w:trHeight w:val="1125"/>
        </w:trPr>
        <w:tc>
          <w:tcPr>
            <w:tcW w:w="8240" w:type="dxa"/>
            <w:gridSpan w:val="3"/>
            <w:tcBorders>
              <w:top w:val="nil"/>
              <w:left w:val="nil"/>
              <w:bottom w:val="nil"/>
              <w:right w:val="nil"/>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w:t>
            </w:r>
            <w:proofErr w:type="gramStart"/>
            <w:r>
              <w:rPr>
                <w:rFonts w:hint="eastAsia"/>
                <w:color w:val="000000"/>
                <w:sz w:val="22"/>
              </w:rPr>
              <w:t>最高年化收益率</w:t>
            </w:r>
            <w:proofErr w:type="gramEnd"/>
            <w:r>
              <w:rPr>
                <w:rFonts w:hint="eastAsia"/>
                <w:color w:val="000000"/>
                <w:sz w:val="22"/>
              </w:rPr>
              <w:t>为</w:t>
            </w:r>
            <w:r w:rsidR="001A74A1">
              <w:rPr>
                <w:rFonts w:hint="eastAsia"/>
                <w:color w:val="000000"/>
                <w:sz w:val="22"/>
              </w:rPr>
              <w:t>3.40</w:t>
            </w:r>
            <w:r>
              <w:rPr>
                <w:rFonts w:hint="eastAsia"/>
                <w:color w:val="000000"/>
                <w:sz w:val="22"/>
              </w:rPr>
              <w:t>%</w:t>
            </w:r>
            <w:r>
              <w:rPr>
                <w:rFonts w:hint="eastAsia"/>
                <w:color w:val="000000"/>
                <w:sz w:val="22"/>
              </w:rPr>
              <w:t>，产品结束时，当期</w:t>
            </w:r>
            <w:proofErr w:type="gramStart"/>
            <w:r>
              <w:rPr>
                <w:rFonts w:hint="eastAsia"/>
                <w:color w:val="000000"/>
                <w:sz w:val="22"/>
              </w:rPr>
              <w:t>实际年化收益率</w:t>
            </w:r>
            <w:proofErr w:type="gramEnd"/>
            <w:r>
              <w:rPr>
                <w:rFonts w:hint="eastAsia"/>
                <w:color w:val="000000"/>
                <w:sz w:val="22"/>
              </w:rPr>
              <w:t>等于客户预期</w:t>
            </w:r>
            <w:proofErr w:type="gramStart"/>
            <w:r>
              <w:rPr>
                <w:rFonts w:hint="eastAsia"/>
                <w:color w:val="000000"/>
                <w:sz w:val="22"/>
              </w:rPr>
              <w:t>最高年化收益率</w:t>
            </w:r>
            <w:proofErr w:type="gramEnd"/>
            <w:r>
              <w:rPr>
                <w:rFonts w:hint="eastAsia"/>
                <w:color w:val="000000"/>
                <w:sz w:val="22"/>
              </w:rPr>
              <w:t>，则投资者持有到期理财收益为：</w:t>
            </w:r>
            <w:r>
              <w:rPr>
                <w:rFonts w:hint="eastAsia"/>
                <w:color w:val="000000"/>
                <w:sz w:val="22"/>
              </w:rPr>
              <w:t>5,000,000</w:t>
            </w:r>
            <w:r>
              <w:rPr>
                <w:rFonts w:hint="eastAsia"/>
                <w:color w:val="000000"/>
                <w:sz w:val="22"/>
              </w:rPr>
              <w:t>×</w:t>
            </w:r>
            <w:r w:rsidR="001A74A1">
              <w:rPr>
                <w:rFonts w:hint="eastAsia"/>
                <w:color w:val="000000"/>
                <w:sz w:val="22"/>
              </w:rPr>
              <w:t>3.40</w:t>
            </w:r>
            <w:r>
              <w:rPr>
                <w:rFonts w:hint="eastAsia"/>
                <w:color w:val="000000"/>
                <w:sz w:val="22"/>
              </w:rPr>
              <w:t>%</w:t>
            </w:r>
            <w:r>
              <w:rPr>
                <w:rFonts w:hint="eastAsia"/>
                <w:color w:val="000000"/>
                <w:sz w:val="22"/>
              </w:rPr>
              <w:t>×</w:t>
            </w:r>
            <w:r w:rsidR="001A74A1">
              <w:rPr>
                <w:rFonts w:hint="eastAsia"/>
                <w:color w:val="000000"/>
                <w:sz w:val="22"/>
              </w:rPr>
              <w:t>3/365 =1397.26</w:t>
            </w:r>
            <w:r>
              <w:rPr>
                <w:rFonts w:hint="eastAsia"/>
                <w:color w:val="000000"/>
                <w:sz w:val="22"/>
              </w:rPr>
              <w:t>元。</w:t>
            </w:r>
          </w:p>
        </w:tc>
      </w:tr>
      <w:tr w:rsidR="001C4938" w:rsidTr="001C4938">
        <w:trPr>
          <w:trHeight w:val="270"/>
        </w:trPr>
        <w:tc>
          <w:tcPr>
            <w:tcW w:w="0" w:type="auto"/>
            <w:gridSpan w:val="3"/>
            <w:tcBorders>
              <w:top w:val="nil"/>
              <w:left w:val="nil"/>
              <w:bottom w:val="nil"/>
              <w:right w:val="nil"/>
            </w:tcBorders>
            <w:shd w:val="clear" w:color="auto" w:fill="auto"/>
            <w:noWrap/>
            <w:vAlign w:val="center"/>
            <w:hideMark/>
          </w:tcPr>
          <w:p w:rsidR="001C4938" w:rsidRDefault="001C4938">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1C4938" w:rsidTr="001C4938">
        <w:trPr>
          <w:trHeight w:val="270"/>
        </w:trPr>
        <w:tc>
          <w:tcPr>
            <w:tcW w:w="0" w:type="auto"/>
            <w:tcBorders>
              <w:top w:val="nil"/>
              <w:left w:val="nil"/>
              <w:bottom w:val="nil"/>
              <w:right w:val="nil"/>
            </w:tcBorders>
            <w:shd w:val="clear" w:color="auto" w:fill="auto"/>
            <w:noWrap/>
            <w:vAlign w:val="center"/>
            <w:hideMark/>
          </w:tcPr>
          <w:p w:rsidR="001C4938" w:rsidRDefault="001C4938">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1C4938" w:rsidRDefault="001C493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1C4938" w:rsidRDefault="001C4938">
            <w:pPr>
              <w:rPr>
                <w:rFonts w:ascii="宋体" w:eastAsia="宋体" w:hAnsi="宋体" w:cs="宋体"/>
                <w:color w:val="000000"/>
                <w:sz w:val="22"/>
              </w:rPr>
            </w:pPr>
          </w:p>
        </w:tc>
      </w:tr>
      <w:tr w:rsidR="001C4938" w:rsidTr="001C4938">
        <w:trPr>
          <w:trHeight w:val="2910"/>
        </w:trPr>
        <w:tc>
          <w:tcPr>
            <w:tcW w:w="8240" w:type="dxa"/>
            <w:gridSpan w:val="3"/>
            <w:tcBorders>
              <w:top w:val="nil"/>
              <w:left w:val="nil"/>
              <w:bottom w:val="nil"/>
              <w:right w:val="nil"/>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1C4938" w:rsidTr="001C4938">
        <w:trPr>
          <w:trHeight w:val="270"/>
        </w:trPr>
        <w:tc>
          <w:tcPr>
            <w:tcW w:w="0" w:type="auto"/>
            <w:tcBorders>
              <w:top w:val="nil"/>
              <w:left w:val="nil"/>
              <w:bottom w:val="nil"/>
              <w:right w:val="nil"/>
            </w:tcBorders>
            <w:shd w:val="clear" w:color="auto" w:fill="auto"/>
            <w:noWrap/>
            <w:vAlign w:val="center"/>
            <w:hideMark/>
          </w:tcPr>
          <w:p w:rsidR="001C4938" w:rsidRDefault="001C4938">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1C4938" w:rsidRDefault="001C493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1C4938" w:rsidRDefault="001C4938">
            <w:pPr>
              <w:rPr>
                <w:rFonts w:ascii="宋体" w:eastAsia="宋体" w:hAnsi="宋体" w:cs="宋体"/>
                <w:color w:val="000000"/>
                <w:sz w:val="22"/>
              </w:rPr>
            </w:pPr>
          </w:p>
        </w:tc>
      </w:tr>
      <w:tr w:rsidR="001C4938" w:rsidTr="001C4938">
        <w:trPr>
          <w:trHeight w:val="3525"/>
        </w:trPr>
        <w:tc>
          <w:tcPr>
            <w:tcW w:w="8240" w:type="dxa"/>
            <w:gridSpan w:val="3"/>
            <w:tcBorders>
              <w:top w:val="nil"/>
              <w:left w:val="nil"/>
              <w:bottom w:val="nil"/>
              <w:right w:val="nil"/>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1C4938" w:rsidTr="001C4938">
        <w:trPr>
          <w:trHeight w:val="285"/>
        </w:trPr>
        <w:tc>
          <w:tcPr>
            <w:tcW w:w="0" w:type="auto"/>
            <w:tcBorders>
              <w:top w:val="nil"/>
              <w:left w:val="nil"/>
              <w:bottom w:val="nil"/>
              <w:right w:val="nil"/>
            </w:tcBorders>
            <w:shd w:val="clear" w:color="auto" w:fill="auto"/>
            <w:noWrap/>
            <w:vAlign w:val="center"/>
            <w:hideMark/>
          </w:tcPr>
          <w:p w:rsidR="001C4938" w:rsidRDefault="001C4938">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1C4938" w:rsidRDefault="001C493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1C4938" w:rsidRDefault="001C4938">
            <w:pPr>
              <w:rPr>
                <w:rFonts w:ascii="宋体" w:eastAsia="宋体" w:hAnsi="宋体" w:cs="宋体"/>
                <w:color w:val="000000"/>
                <w:sz w:val="22"/>
              </w:rPr>
            </w:pPr>
          </w:p>
        </w:tc>
      </w:tr>
      <w:tr w:rsidR="001C4938" w:rsidTr="001C4938">
        <w:trPr>
          <w:trHeight w:val="1395"/>
        </w:trPr>
        <w:tc>
          <w:tcPr>
            <w:tcW w:w="8240" w:type="dxa"/>
            <w:gridSpan w:val="3"/>
            <w:tcBorders>
              <w:top w:val="nil"/>
              <w:left w:val="nil"/>
              <w:bottom w:val="nil"/>
              <w:right w:val="nil"/>
            </w:tcBorders>
            <w:shd w:val="clear" w:color="auto" w:fill="auto"/>
            <w:vAlign w:val="center"/>
            <w:hideMark/>
          </w:tcPr>
          <w:p w:rsidR="001C4938" w:rsidRDefault="001C493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141</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1C4938" w:rsidTr="001C4938">
        <w:trPr>
          <w:trHeight w:val="285"/>
        </w:trPr>
        <w:tc>
          <w:tcPr>
            <w:tcW w:w="0" w:type="auto"/>
            <w:tcBorders>
              <w:top w:val="nil"/>
              <w:left w:val="nil"/>
              <w:bottom w:val="nil"/>
              <w:right w:val="nil"/>
            </w:tcBorders>
            <w:shd w:val="clear" w:color="auto" w:fill="auto"/>
            <w:noWrap/>
            <w:vAlign w:val="center"/>
            <w:hideMark/>
          </w:tcPr>
          <w:p w:rsidR="001C4938" w:rsidRDefault="001C4938">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1C4938" w:rsidRDefault="001C493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1C4938" w:rsidRDefault="001C4938">
            <w:pPr>
              <w:rPr>
                <w:rFonts w:ascii="宋体" w:eastAsia="宋体" w:hAnsi="宋体" w:cs="宋体"/>
                <w:color w:val="000000"/>
                <w:sz w:val="22"/>
              </w:rPr>
            </w:pPr>
          </w:p>
        </w:tc>
      </w:tr>
      <w:tr w:rsidR="001C4938" w:rsidTr="001C4938">
        <w:trPr>
          <w:trHeight w:val="600"/>
        </w:trPr>
        <w:tc>
          <w:tcPr>
            <w:tcW w:w="8240" w:type="dxa"/>
            <w:gridSpan w:val="3"/>
            <w:tcBorders>
              <w:top w:val="nil"/>
              <w:left w:val="nil"/>
              <w:bottom w:val="nil"/>
              <w:right w:val="nil"/>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1C4938" w:rsidTr="001C4938">
        <w:trPr>
          <w:trHeight w:val="570"/>
        </w:trPr>
        <w:tc>
          <w:tcPr>
            <w:tcW w:w="8240" w:type="dxa"/>
            <w:gridSpan w:val="3"/>
            <w:tcBorders>
              <w:top w:val="nil"/>
              <w:left w:val="nil"/>
              <w:bottom w:val="nil"/>
              <w:right w:val="nil"/>
            </w:tcBorders>
            <w:shd w:val="clear" w:color="auto" w:fill="auto"/>
            <w:vAlign w:val="center"/>
            <w:hideMark/>
          </w:tcPr>
          <w:p w:rsidR="001C4938" w:rsidRDefault="001C493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1C4938" w:rsidTr="001C4938">
        <w:trPr>
          <w:trHeight w:val="270"/>
        </w:trPr>
        <w:tc>
          <w:tcPr>
            <w:tcW w:w="0" w:type="auto"/>
            <w:gridSpan w:val="2"/>
            <w:tcBorders>
              <w:top w:val="nil"/>
              <w:left w:val="nil"/>
              <w:bottom w:val="nil"/>
              <w:right w:val="nil"/>
            </w:tcBorders>
            <w:shd w:val="clear" w:color="auto" w:fill="auto"/>
            <w:noWrap/>
            <w:vAlign w:val="center"/>
            <w:hideMark/>
          </w:tcPr>
          <w:p w:rsidR="001C4938" w:rsidRDefault="001C4938">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1C4938" w:rsidRDefault="001C4938">
            <w:pPr>
              <w:rPr>
                <w:rFonts w:ascii="宋体" w:eastAsia="宋体" w:hAnsi="宋体" w:cs="宋体"/>
                <w:color w:val="000000"/>
                <w:sz w:val="22"/>
              </w:rPr>
            </w:pPr>
          </w:p>
        </w:tc>
      </w:tr>
      <w:tr w:rsidR="001C4938" w:rsidTr="001C4938">
        <w:trPr>
          <w:trHeight w:val="270"/>
        </w:trPr>
        <w:tc>
          <w:tcPr>
            <w:tcW w:w="0" w:type="auto"/>
            <w:gridSpan w:val="3"/>
            <w:tcBorders>
              <w:top w:val="nil"/>
              <w:left w:val="nil"/>
              <w:bottom w:val="nil"/>
              <w:right w:val="nil"/>
            </w:tcBorders>
            <w:shd w:val="clear" w:color="auto" w:fill="auto"/>
            <w:noWrap/>
            <w:vAlign w:val="center"/>
            <w:hideMark/>
          </w:tcPr>
          <w:p w:rsidR="001C4938" w:rsidRDefault="001C4938">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1C4938" w:rsidTr="001C4938">
        <w:trPr>
          <w:trHeight w:val="1875"/>
        </w:trPr>
        <w:tc>
          <w:tcPr>
            <w:tcW w:w="8240" w:type="dxa"/>
            <w:gridSpan w:val="3"/>
            <w:tcBorders>
              <w:top w:val="nil"/>
              <w:left w:val="nil"/>
              <w:bottom w:val="nil"/>
              <w:right w:val="nil"/>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1C4938" w:rsidTr="001C4938">
        <w:trPr>
          <w:trHeight w:val="270"/>
        </w:trPr>
        <w:tc>
          <w:tcPr>
            <w:tcW w:w="0" w:type="auto"/>
            <w:gridSpan w:val="2"/>
            <w:tcBorders>
              <w:top w:val="nil"/>
              <w:left w:val="nil"/>
              <w:bottom w:val="nil"/>
              <w:right w:val="nil"/>
            </w:tcBorders>
            <w:shd w:val="clear" w:color="auto" w:fill="auto"/>
            <w:noWrap/>
            <w:vAlign w:val="center"/>
            <w:hideMark/>
          </w:tcPr>
          <w:p w:rsidR="001C4938" w:rsidRDefault="001C4938">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1C4938" w:rsidRDefault="001C4938">
            <w:pPr>
              <w:rPr>
                <w:rFonts w:ascii="宋体" w:eastAsia="宋体" w:hAnsi="宋体" w:cs="宋体"/>
                <w:color w:val="000000"/>
                <w:sz w:val="22"/>
              </w:rPr>
            </w:pPr>
          </w:p>
        </w:tc>
      </w:tr>
      <w:tr w:rsidR="001C4938" w:rsidTr="001C4938">
        <w:trPr>
          <w:trHeight w:val="2730"/>
        </w:trPr>
        <w:tc>
          <w:tcPr>
            <w:tcW w:w="8240" w:type="dxa"/>
            <w:gridSpan w:val="3"/>
            <w:tcBorders>
              <w:top w:val="nil"/>
              <w:left w:val="nil"/>
              <w:bottom w:val="nil"/>
              <w:right w:val="nil"/>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w:t>
            </w:r>
            <w:proofErr w:type="gramStart"/>
            <w:r>
              <w:rPr>
                <w:rFonts w:hint="eastAsia"/>
                <w:color w:val="000000"/>
                <w:sz w:val="22"/>
              </w:rPr>
              <w:t>其他第三</w:t>
            </w:r>
            <w:proofErr w:type="gramEnd"/>
            <w:r>
              <w:rPr>
                <w:rFonts w:hint="eastAsia"/>
                <w:color w:val="000000"/>
                <w:sz w:val="22"/>
              </w:rPr>
              <w:t>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1C4938" w:rsidTr="001C4938">
        <w:trPr>
          <w:trHeight w:val="285"/>
        </w:trPr>
        <w:tc>
          <w:tcPr>
            <w:tcW w:w="0" w:type="auto"/>
            <w:tcBorders>
              <w:top w:val="nil"/>
              <w:left w:val="nil"/>
              <w:bottom w:val="nil"/>
              <w:right w:val="nil"/>
            </w:tcBorders>
            <w:shd w:val="clear" w:color="auto" w:fill="auto"/>
            <w:noWrap/>
            <w:vAlign w:val="center"/>
            <w:hideMark/>
          </w:tcPr>
          <w:p w:rsidR="001C4938" w:rsidRDefault="001C4938">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1C4938" w:rsidRDefault="001C493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1C4938" w:rsidRDefault="001C4938">
            <w:pPr>
              <w:rPr>
                <w:rFonts w:ascii="宋体" w:eastAsia="宋体" w:hAnsi="宋体" w:cs="宋体"/>
                <w:color w:val="000000"/>
                <w:sz w:val="22"/>
              </w:rPr>
            </w:pPr>
          </w:p>
        </w:tc>
      </w:tr>
      <w:tr w:rsidR="001C4938" w:rsidTr="001C4938">
        <w:trPr>
          <w:trHeight w:val="3660"/>
        </w:trPr>
        <w:tc>
          <w:tcPr>
            <w:tcW w:w="8240" w:type="dxa"/>
            <w:gridSpan w:val="3"/>
            <w:tcBorders>
              <w:top w:val="nil"/>
              <w:left w:val="nil"/>
              <w:bottom w:val="nil"/>
              <w:right w:val="nil"/>
            </w:tcBorders>
            <w:shd w:val="clear" w:color="auto" w:fill="auto"/>
            <w:vAlign w:val="center"/>
            <w:hideMark/>
          </w:tcPr>
          <w:p w:rsidR="001C4938" w:rsidRDefault="001C493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1C4938" w:rsidTr="001C4938">
        <w:trPr>
          <w:trHeight w:val="525"/>
        </w:trPr>
        <w:tc>
          <w:tcPr>
            <w:tcW w:w="8240" w:type="dxa"/>
            <w:gridSpan w:val="3"/>
            <w:tcBorders>
              <w:top w:val="nil"/>
              <w:left w:val="nil"/>
              <w:bottom w:val="nil"/>
              <w:right w:val="nil"/>
            </w:tcBorders>
            <w:shd w:val="clear" w:color="auto" w:fill="auto"/>
            <w:vAlign w:val="center"/>
            <w:hideMark/>
          </w:tcPr>
          <w:p w:rsidR="001C4938" w:rsidRDefault="001C4938">
            <w:pPr>
              <w:jc w:val="center"/>
              <w:rPr>
                <w:rFonts w:ascii="宋体" w:eastAsia="宋体" w:hAnsi="宋体" w:cs="宋体"/>
                <w:color w:val="000000"/>
                <w:sz w:val="22"/>
              </w:rPr>
            </w:pPr>
            <w:r>
              <w:rPr>
                <w:rFonts w:hint="eastAsia"/>
                <w:color w:val="000000"/>
                <w:sz w:val="22"/>
              </w:rPr>
              <w:t>―――――――――――――――――――――――――――――――――――――</w:t>
            </w:r>
          </w:p>
        </w:tc>
      </w:tr>
      <w:tr w:rsidR="001C4938" w:rsidTr="001C4938">
        <w:trPr>
          <w:trHeight w:val="855"/>
        </w:trPr>
        <w:tc>
          <w:tcPr>
            <w:tcW w:w="8240" w:type="dxa"/>
            <w:gridSpan w:val="3"/>
            <w:tcBorders>
              <w:top w:val="nil"/>
              <w:left w:val="nil"/>
              <w:bottom w:val="nil"/>
              <w:right w:val="nil"/>
            </w:tcBorders>
            <w:shd w:val="clear" w:color="auto" w:fill="auto"/>
            <w:vAlign w:val="center"/>
            <w:hideMark/>
          </w:tcPr>
          <w:p w:rsidR="001C4938" w:rsidRDefault="001C493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141</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1C4938" w:rsidTr="001C4938">
        <w:trPr>
          <w:trHeight w:val="285"/>
        </w:trPr>
        <w:tc>
          <w:tcPr>
            <w:tcW w:w="0" w:type="auto"/>
            <w:tcBorders>
              <w:top w:val="nil"/>
              <w:left w:val="nil"/>
              <w:bottom w:val="nil"/>
              <w:right w:val="nil"/>
            </w:tcBorders>
            <w:shd w:val="clear" w:color="auto" w:fill="auto"/>
            <w:noWrap/>
            <w:vAlign w:val="center"/>
            <w:hideMark/>
          </w:tcPr>
          <w:p w:rsidR="001C4938" w:rsidRDefault="001C4938">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1C4938" w:rsidRDefault="001C493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1C4938" w:rsidRDefault="001C4938">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763225" w:rsidRDefault="00763225"/>
    <w:sectPr w:rsidR="00763225" w:rsidSect="00763225">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E79" w:rsidRDefault="00AD7E79" w:rsidP="001A74A1">
      <w:r>
        <w:separator/>
      </w:r>
    </w:p>
  </w:endnote>
  <w:endnote w:type="continuationSeparator" w:id="0">
    <w:p w:rsidR="00AD7E79" w:rsidRDefault="00AD7E79" w:rsidP="001A74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E79" w:rsidRDefault="00AD7E79" w:rsidP="001A74A1">
      <w:r>
        <w:separator/>
      </w:r>
    </w:p>
  </w:footnote>
  <w:footnote w:type="continuationSeparator" w:id="0">
    <w:p w:rsidR="00AD7E79" w:rsidRDefault="00AD7E79" w:rsidP="001A74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4A1" w:rsidRPr="001A74A1" w:rsidRDefault="001A74A1" w:rsidP="001A74A1">
    <w:pPr>
      <w:pStyle w:val="a3"/>
      <w:jc w:val="both"/>
      <w:rPr>
        <w:rFonts w:ascii="宋体" w:eastAsia="宋体" w:hAnsi="宋体"/>
      </w:rPr>
    </w:pPr>
    <w:r w:rsidRPr="004035AE">
      <w:rPr>
        <w:rFonts w:ascii="宋体" w:eastAsia="宋体" w:hAnsi="宋体" w:hint="eastAsia"/>
      </w:rPr>
      <w:t>您可登录：中国理财网（</w:t>
    </w:r>
    <w:r w:rsidRPr="001A74A1">
      <w:rPr>
        <w:rFonts w:ascii="宋体" w:eastAsia="宋体" w:hAnsi="宋体" w:hint="eastAsia"/>
      </w:rPr>
      <w:t>http://www.chinawealth.com.cn/），查询产品信息，登记编码：</w:t>
    </w:r>
    <w:r>
      <w:rPr>
        <w:rFonts w:ascii="宋体" w:eastAsia="宋体" w:hAnsi="宋体"/>
      </w:rPr>
      <w:t>C1030714002</w:t>
    </w:r>
    <w:r>
      <w:rPr>
        <w:rFonts w:ascii="宋体" w:eastAsia="宋体" w:hAnsi="宋体" w:hint="eastAsia"/>
      </w:rPr>
      <w:t>692</w:t>
    </w:r>
  </w:p>
  <w:p w:rsidR="001A74A1" w:rsidRDefault="001A74A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4938"/>
    <w:rsid w:val="00123665"/>
    <w:rsid w:val="001A74A1"/>
    <w:rsid w:val="001C4938"/>
    <w:rsid w:val="00763225"/>
    <w:rsid w:val="00AD7E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2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74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74A1"/>
    <w:rPr>
      <w:sz w:val="18"/>
      <w:szCs w:val="18"/>
    </w:rPr>
  </w:style>
  <w:style w:type="paragraph" w:styleId="a4">
    <w:name w:val="footer"/>
    <w:basedOn w:val="a"/>
    <w:link w:val="Char0"/>
    <w:uiPriority w:val="99"/>
    <w:semiHidden/>
    <w:unhideWhenUsed/>
    <w:rsid w:val="001A74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A74A1"/>
    <w:rPr>
      <w:sz w:val="18"/>
      <w:szCs w:val="18"/>
    </w:rPr>
  </w:style>
  <w:style w:type="paragraph" w:styleId="a5">
    <w:name w:val="Balloon Text"/>
    <w:basedOn w:val="a"/>
    <w:link w:val="Char1"/>
    <w:uiPriority w:val="99"/>
    <w:semiHidden/>
    <w:unhideWhenUsed/>
    <w:rsid w:val="001A74A1"/>
    <w:rPr>
      <w:sz w:val="18"/>
      <w:szCs w:val="18"/>
    </w:rPr>
  </w:style>
  <w:style w:type="character" w:customStyle="1" w:styleId="Char1">
    <w:name w:val="批注框文本 Char"/>
    <w:basedOn w:val="a0"/>
    <w:link w:val="a5"/>
    <w:uiPriority w:val="99"/>
    <w:semiHidden/>
    <w:rsid w:val="001A74A1"/>
    <w:rPr>
      <w:sz w:val="18"/>
      <w:szCs w:val="18"/>
    </w:rPr>
  </w:style>
  <w:style w:type="character" w:styleId="a6">
    <w:name w:val="Hyperlink"/>
    <w:basedOn w:val="a0"/>
    <w:rsid w:val="001A74A1"/>
    <w:rPr>
      <w:color w:val="0000FF"/>
      <w:u w:val="single"/>
    </w:rPr>
  </w:style>
</w:styles>
</file>

<file path=word/webSettings.xml><?xml version="1.0" encoding="utf-8"?>
<w:webSettings xmlns:r="http://schemas.openxmlformats.org/officeDocument/2006/relationships" xmlns:w="http://schemas.openxmlformats.org/wordprocessingml/2006/main">
  <w:divs>
    <w:div w:id="102178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4724</Characters>
  <Application>Microsoft Office Word</Application>
  <DocSecurity>0</DocSecurity>
  <Lines>39</Lines>
  <Paragraphs>11</Paragraphs>
  <ScaleCrop>false</ScaleCrop>
  <Company>sdb</Company>
  <LinksUpToDate>false</LinksUpToDate>
  <CharactersWithSpaces>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2014-10-16T09:11:00Z</dcterms:created>
  <dcterms:modified xsi:type="dcterms:W3CDTF">2014-11-19T03:25:00Z</dcterms:modified>
</cp:coreProperties>
</file>