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4BD" w:rsidRPr="00191CB3" w:rsidRDefault="00B124BD" w:rsidP="003D658A">
      <w:pPr>
        <w:pStyle w:val="a4"/>
        <w:spacing w:line="540" w:lineRule="exact"/>
        <w:jc w:val="center"/>
        <w:rPr>
          <w:rStyle w:val="corporatetitle1"/>
          <w:rFonts w:ascii="宋体" w:hAnsi="宋体"/>
          <w:bCs w:val="0"/>
          <w:szCs w:val="30"/>
        </w:rPr>
      </w:pPr>
      <w:r w:rsidRPr="00154065">
        <w:rPr>
          <w:rFonts w:ascii="宋体" w:hAnsi="宋体" w:hint="eastAsia"/>
          <w:b/>
          <w:noProof/>
          <w:szCs w:val="30"/>
        </w:rPr>
        <w:t>“聚财宝”</w:t>
      </w:r>
      <w:r w:rsidR="009E24C2">
        <w:rPr>
          <w:rFonts w:ascii="宋体" w:hAnsi="宋体" w:hint="eastAsia"/>
          <w:b/>
          <w:noProof/>
          <w:szCs w:val="30"/>
        </w:rPr>
        <w:t>周末发</w:t>
      </w:r>
      <w:r w:rsidR="009E24C2">
        <w:rPr>
          <w:rFonts w:ascii="宋体" w:hAnsi="宋体" w:hint="eastAsia"/>
          <w:b/>
          <w:noProof/>
          <w:szCs w:val="30"/>
        </w:rPr>
        <w:t>2013</w:t>
      </w:r>
      <w:r w:rsidR="009E24C2">
        <w:rPr>
          <w:rFonts w:ascii="宋体" w:hAnsi="宋体" w:hint="eastAsia"/>
          <w:b/>
          <w:noProof/>
          <w:szCs w:val="30"/>
        </w:rPr>
        <w:t>年</w:t>
      </w:r>
      <w:r w:rsidR="009E24C2">
        <w:rPr>
          <w:rFonts w:ascii="宋体" w:hAnsi="宋体" w:hint="eastAsia"/>
          <w:b/>
          <w:noProof/>
          <w:szCs w:val="30"/>
        </w:rPr>
        <w:t>1</w:t>
      </w:r>
      <w:r w:rsidR="009E24C2" w:rsidRPr="00335E2B">
        <w:rPr>
          <w:rFonts w:ascii="宋体" w:hAnsi="宋体" w:hint="eastAsia"/>
          <w:b/>
          <w:noProof/>
          <w:szCs w:val="30"/>
          <w:highlight w:val="yellow"/>
        </w:rPr>
        <w:t>16</w:t>
      </w:r>
      <w:r w:rsidR="009E24C2" w:rsidRPr="00335E2B">
        <w:rPr>
          <w:rFonts w:ascii="宋体" w:hAnsi="宋体" w:hint="eastAsia"/>
          <w:b/>
          <w:noProof/>
          <w:szCs w:val="30"/>
          <w:highlight w:val="yellow"/>
        </w:rPr>
        <w:t>期</w:t>
      </w:r>
      <w:r w:rsidR="009E24C2">
        <w:rPr>
          <w:rFonts w:ascii="宋体" w:hAnsi="宋体" w:hint="eastAsia"/>
          <w:b/>
          <w:noProof/>
          <w:szCs w:val="30"/>
        </w:rPr>
        <w:t>人民币理财产品</w:t>
      </w:r>
      <w:r w:rsidRPr="00191CB3">
        <w:rPr>
          <w:rFonts w:ascii="宋体" w:hAnsi="宋体" w:hint="eastAsia"/>
          <w:b/>
          <w:szCs w:val="30"/>
        </w:rPr>
        <w:t>说明书</w:t>
      </w:r>
    </w:p>
    <w:p w:rsidR="00B124BD" w:rsidRPr="00191CB3" w:rsidRDefault="00CF40D9" w:rsidP="003D658A">
      <w:pPr>
        <w:rPr>
          <w:rStyle w:val="corporatetitle1"/>
          <w:rFonts w:ascii="仿宋_GB2312"/>
          <w:snapToGrid w:val="0"/>
          <w:color w:val="000000"/>
          <w:sz w:val="28"/>
          <w:szCs w:val="28"/>
        </w:rPr>
      </w:pPr>
      <w:r w:rsidRPr="00CF40D9">
        <w:rPr>
          <w:noProof/>
        </w:rPr>
        <w:pict>
          <v:shapetype id="_x0000_t202" coordsize="21600,21600" o:spt="202" path="m,l,21600r21600,l21600,xe">
            <v:stroke joinstyle="miter"/>
            <v:path gradientshapeok="t" o:connecttype="rect"/>
          </v:shapetype>
          <v:shape id="_x0000_s1026" type="#_x0000_t202" style="position:absolute;left:0;text-align:left;margin-left:-16.5pt;margin-top:9pt;width:453.75pt;height:150pt;z-index:1" filled="f" strokeweight="1.5pt">
            <v:textbox style="mso-next-textbox:#_x0000_s1026">
              <w:txbxContent>
                <w:p w:rsidR="00B124BD" w:rsidRPr="00C455D2" w:rsidRDefault="00B124BD" w:rsidP="003D658A">
                  <w:pPr>
                    <w:numPr>
                      <w:ilvl w:val="0"/>
                      <w:numId w:val="1"/>
                    </w:numPr>
                    <w:tabs>
                      <w:tab w:val="left" w:pos="540"/>
                    </w:tabs>
                    <w:ind w:left="540" w:hanging="540"/>
                    <w:rPr>
                      <w:rFonts w:ascii="仿宋_GB2312" w:hAnsi="华文仿宋"/>
                      <w:b/>
                      <w:sz w:val="21"/>
                      <w:szCs w:val="21"/>
                    </w:rPr>
                  </w:pPr>
                  <w:r w:rsidRPr="00C455D2">
                    <w:rPr>
                      <w:rFonts w:ascii="仿宋_GB2312" w:hAnsi="华文仿宋" w:hint="eastAsia"/>
                      <w:b/>
                      <w:sz w:val="21"/>
                      <w:szCs w:val="21"/>
                    </w:rPr>
                    <w:t>银行销售的理财产品与存款存在明显区别，具有一定的风险。</w:t>
                  </w:r>
                </w:p>
                <w:p w:rsidR="00B124BD" w:rsidRPr="00C455D2" w:rsidRDefault="00B124BD" w:rsidP="003D658A">
                  <w:pPr>
                    <w:numPr>
                      <w:ilvl w:val="0"/>
                      <w:numId w:val="1"/>
                    </w:numPr>
                    <w:tabs>
                      <w:tab w:val="clear" w:pos="420"/>
                      <w:tab w:val="num" w:pos="540"/>
                    </w:tabs>
                    <w:rPr>
                      <w:rFonts w:ascii="仿宋_GB2312" w:hAnsi="华文仿宋"/>
                      <w:b/>
                      <w:sz w:val="21"/>
                      <w:szCs w:val="21"/>
                    </w:rPr>
                  </w:pPr>
                  <w:r w:rsidRPr="00C455D2">
                    <w:rPr>
                      <w:rFonts w:ascii="仿宋_GB2312" w:hAnsi="华文仿宋" w:hint="eastAsia"/>
                      <w:b/>
                      <w:sz w:val="21"/>
                      <w:szCs w:val="21"/>
                    </w:rPr>
                    <w:t>本产品向有投资经验及无投资经验客户均可销售。</w:t>
                  </w:r>
                </w:p>
                <w:p w:rsidR="00B124BD" w:rsidRPr="00C455D2" w:rsidRDefault="00B124BD"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本理财产品为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p>
                <w:p w:rsidR="00B124BD" w:rsidRPr="00C455D2" w:rsidRDefault="00B124BD"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p>
                <w:p w:rsidR="00B124BD" w:rsidRPr="00C455D2" w:rsidRDefault="00B124BD"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在购买理财产品后，投资者应随时关注该理财产品的信息披露情况，及时获取相关信息。</w:t>
                  </w:r>
                </w:p>
              </w:txbxContent>
            </v:textbox>
          </v:shape>
        </w:pict>
      </w:r>
    </w:p>
    <w:p w:rsidR="00B124BD" w:rsidRPr="00191CB3" w:rsidRDefault="00B124BD" w:rsidP="003D658A">
      <w:pPr>
        <w:rPr>
          <w:rStyle w:val="corporatetitle1"/>
          <w:rFonts w:ascii="仿宋_GB2312"/>
          <w:snapToGrid w:val="0"/>
          <w:color w:val="000000"/>
          <w:sz w:val="28"/>
          <w:szCs w:val="28"/>
        </w:rPr>
      </w:pPr>
    </w:p>
    <w:p w:rsidR="00B124BD" w:rsidRPr="00191CB3" w:rsidRDefault="00B124BD" w:rsidP="003D658A">
      <w:pPr>
        <w:rPr>
          <w:rStyle w:val="corporatetitle1"/>
          <w:rFonts w:ascii="仿宋_GB2312"/>
          <w:snapToGrid w:val="0"/>
          <w:color w:val="000000"/>
          <w:sz w:val="28"/>
          <w:szCs w:val="28"/>
        </w:rPr>
      </w:pPr>
    </w:p>
    <w:p w:rsidR="00B124BD" w:rsidRPr="00191CB3" w:rsidRDefault="00B124BD" w:rsidP="003D658A">
      <w:pPr>
        <w:rPr>
          <w:rStyle w:val="corporatetitle1"/>
          <w:rFonts w:ascii="仿宋_GB2312"/>
          <w:snapToGrid w:val="0"/>
          <w:color w:val="000000"/>
          <w:sz w:val="28"/>
          <w:szCs w:val="28"/>
        </w:rPr>
      </w:pPr>
    </w:p>
    <w:p w:rsidR="00B124BD" w:rsidRPr="00191CB3" w:rsidRDefault="00B124BD" w:rsidP="003D658A">
      <w:pPr>
        <w:rPr>
          <w:rStyle w:val="corporatetitle1"/>
          <w:rFonts w:ascii="仿宋_GB2312"/>
          <w:snapToGrid w:val="0"/>
          <w:color w:val="000000"/>
          <w:sz w:val="28"/>
          <w:szCs w:val="28"/>
        </w:rPr>
      </w:pPr>
    </w:p>
    <w:p w:rsidR="00B124BD" w:rsidRPr="00191CB3" w:rsidRDefault="00B124BD" w:rsidP="003D658A">
      <w:pPr>
        <w:rPr>
          <w:rFonts w:ascii="宋体" w:eastAsia="宋体" w:hAnsi="宋体"/>
          <w:b/>
          <w:sz w:val="24"/>
          <w:szCs w:val="24"/>
        </w:rPr>
      </w:pPr>
    </w:p>
    <w:p w:rsidR="00B124BD" w:rsidRPr="00191CB3" w:rsidRDefault="00B124BD" w:rsidP="003D658A">
      <w:pPr>
        <w:rPr>
          <w:rFonts w:ascii="宋体" w:eastAsia="宋体" w:hAnsi="宋体"/>
          <w:b/>
          <w:sz w:val="24"/>
          <w:szCs w:val="24"/>
        </w:rPr>
      </w:pPr>
      <w:r w:rsidRPr="00191CB3">
        <w:rPr>
          <w:rFonts w:ascii="宋体" w:eastAsia="宋体" w:hAnsi="宋体" w:hint="eastAsia"/>
          <w:b/>
          <w:sz w:val="24"/>
          <w:szCs w:val="24"/>
        </w:rPr>
        <w:t>一、产品概述</w:t>
      </w:r>
    </w:p>
    <w:tbl>
      <w:tblPr>
        <w:tblW w:w="9073" w:type="dxa"/>
        <w:tblInd w:w="-26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2124"/>
        <w:gridCol w:w="6949"/>
      </w:tblGrid>
      <w:tr w:rsidR="00B124BD" w:rsidRPr="00191CB3" w:rsidTr="00134859">
        <w:trPr>
          <w:trHeight w:val="241"/>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产品名称</w:t>
            </w:r>
          </w:p>
        </w:tc>
        <w:tc>
          <w:tcPr>
            <w:tcW w:w="6949" w:type="dxa"/>
            <w:shd w:val="clear" w:color="auto" w:fill="auto"/>
            <w:tcMar>
              <w:top w:w="15" w:type="dxa"/>
              <w:left w:w="15" w:type="dxa"/>
              <w:bottom w:w="0" w:type="dxa"/>
              <w:right w:w="15" w:type="dxa"/>
            </w:tcMar>
            <w:vAlign w:val="center"/>
          </w:tcPr>
          <w:p w:rsidR="00B124BD" w:rsidRPr="00191CB3" w:rsidRDefault="00B124BD" w:rsidP="0096287C">
            <w:pPr>
              <w:spacing w:line="240" w:lineRule="exact"/>
              <w:rPr>
                <w:rFonts w:ascii="宋体" w:eastAsia="宋体" w:hAnsi="宋体"/>
                <w:b/>
                <w:bCs/>
                <w:sz w:val="21"/>
                <w:szCs w:val="21"/>
              </w:rPr>
            </w:pPr>
            <w:r w:rsidRPr="00191CB3">
              <w:rPr>
                <w:rFonts w:ascii="宋体" w:eastAsia="宋体" w:hAnsi="宋体" w:hint="eastAsia"/>
                <w:b/>
                <w:bCs/>
                <w:sz w:val="21"/>
                <w:szCs w:val="21"/>
              </w:rPr>
              <w:t xml:space="preserve"> </w:t>
            </w:r>
            <w:r w:rsidRPr="00154065">
              <w:rPr>
                <w:rFonts w:ascii="宋体" w:eastAsia="宋体" w:hAnsi="宋体" w:hint="eastAsia"/>
                <w:b/>
                <w:bCs/>
                <w:noProof/>
                <w:sz w:val="21"/>
                <w:szCs w:val="21"/>
              </w:rPr>
              <w:t>“聚财宝”</w:t>
            </w:r>
            <w:r w:rsidR="009E24C2">
              <w:rPr>
                <w:rFonts w:ascii="宋体" w:eastAsia="宋体" w:hAnsi="宋体" w:hint="eastAsia"/>
                <w:b/>
                <w:bCs/>
                <w:noProof/>
                <w:sz w:val="21"/>
                <w:szCs w:val="21"/>
              </w:rPr>
              <w:t>周末发2013年</w:t>
            </w:r>
            <w:r w:rsidR="009E24C2" w:rsidRPr="00335E2B">
              <w:rPr>
                <w:rFonts w:ascii="宋体" w:eastAsia="宋体" w:hAnsi="宋体" w:hint="eastAsia"/>
                <w:b/>
                <w:bCs/>
                <w:noProof/>
                <w:sz w:val="21"/>
                <w:szCs w:val="21"/>
                <w:highlight w:val="yellow"/>
              </w:rPr>
              <w:t>116期</w:t>
            </w:r>
            <w:r w:rsidR="009E24C2">
              <w:rPr>
                <w:rFonts w:ascii="宋体" w:eastAsia="宋体" w:hAnsi="宋体" w:hint="eastAsia"/>
                <w:b/>
                <w:bCs/>
                <w:noProof/>
                <w:sz w:val="21"/>
                <w:szCs w:val="21"/>
              </w:rPr>
              <w:t>人民币理财产品</w:t>
            </w:r>
          </w:p>
        </w:tc>
      </w:tr>
      <w:tr w:rsidR="00B124BD" w:rsidRPr="00191CB3" w:rsidTr="00134859">
        <w:trPr>
          <w:trHeight w:val="241"/>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jc w:val="center"/>
              <w:rPr>
                <w:rFonts w:ascii="宋体" w:eastAsia="宋体" w:hAnsi="宋体"/>
                <w:sz w:val="21"/>
                <w:szCs w:val="21"/>
              </w:rPr>
            </w:pPr>
            <w:r w:rsidRPr="00191CB3">
              <w:rPr>
                <w:rFonts w:ascii="宋体" w:eastAsia="宋体" w:hAnsi="宋体" w:hint="eastAsia"/>
                <w:sz w:val="21"/>
                <w:szCs w:val="21"/>
              </w:rPr>
              <w:t>产品风险评级</w:t>
            </w:r>
          </w:p>
        </w:tc>
        <w:tc>
          <w:tcPr>
            <w:tcW w:w="6949" w:type="dxa"/>
            <w:shd w:val="clear" w:color="auto" w:fill="auto"/>
            <w:tcMar>
              <w:top w:w="15" w:type="dxa"/>
              <w:left w:w="15" w:type="dxa"/>
              <w:bottom w:w="0" w:type="dxa"/>
              <w:right w:w="15" w:type="dxa"/>
            </w:tcMar>
            <w:vAlign w:val="center"/>
          </w:tcPr>
          <w:p w:rsidR="00B124BD" w:rsidRPr="00191CB3" w:rsidRDefault="00B124BD" w:rsidP="00134859">
            <w:pPr>
              <w:spacing w:line="240" w:lineRule="exact"/>
              <w:rPr>
                <w:rFonts w:ascii="宋体" w:eastAsia="宋体" w:hAnsi="宋体"/>
                <w:bCs/>
                <w:sz w:val="21"/>
                <w:szCs w:val="21"/>
              </w:rPr>
            </w:pPr>
            <w:r w:rsidRPr="00154065">
              <w:rPr>
                <w:rFonts w:ascii="宋体" w:eastAsia="宋体" w:hAnsi="宋体" w:hint="eastAsia"/>
                <w:bCs/>
                <w:noProof/>
                <w:sz w:val="21"/>
                <w:szCs w:val="21"/>
              </w:rPr>
              <w:t>“一级”低风险</w:t>
            </w:r>
          </w:p>
        </w:tc>
      </w:tr>
      <w:tr w:rsidR="00B124BD" w:rsidRPr="00191CB3" w:rsidTr="00134859">
        <w:trPr>
          <w:trHeight w:val="756"/>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适合客户</w:t>
            </w:r>
          </w:p>
        </w:tc>
        <w:tc>
          <w:tcPr>
            <w:tcW w:w="6949" w:type="dxa"/>
            <w:shd w:val="clear" w:color="auto" w:fill="auto"/>
            <w:tcMar>
              <w:top w:w="15" w:type="dxa"/>
              <w:left w:w="15" w:type="dxa"/>
              <w:bottom w:w="0" w:type="dxa"/>
              <w:right w:w="15" w:type="dxa"/>
            </w:tcMar>
            <w:vAlign w:val="center"/>
          </w:tcPr>
          <w:p w:rsidR="00B124BD" w:rsidRPr="00191CB3" w:rsidRDefault="00B124BD" w:rsidP="00134859">
            <w:pPr>
              <w:spacing w:line="240" w:lineRule="exact"/>
              <w:rPr>
                <w:rFonts w:ascii="宋体" w:eastAsia="宋体" w:hAnsi="宋体"/>
                <w:sz w:val="21"/>
                <w:szCs w:val="21"/>
              </w:rPr>
            </w:pPr>
            <w:r w:rsidRPr="00191CB3">
              <w:rPr>
                <w:rFonts w:ascii="宋体" w:eastAsia="宋体" w:hAnsi="宋体" w:hint="eastAsia"/>
                <w:sz w:val="21"/>
                <w:szCs w:val="21"/>
              </w:rPr>
              <w:t>本产品向有投资经验及无投资经验客户均可销售。平安银行建议：经我行风险承受度评估，评定为</w:t>
            </w:r>
            <w:r w:rsidRPr="00154065">
              <w:rPr>
                <w:rFonts w:ascii="宋体" w:eastAsia="宋体" w:hAnsi="宋体" w:hint="eastAsia"/>
                <w:noProof/>
                <w:sz w:val="21"/>
                <w:szCs w:val="21"/>
              </w:rPr>
              <w:t>“保守型”、“稳健型”、“平衡型”、“成长型”、“进取型”</w:t>
            </w:r>
            <w:r w:rsidRPr="00191CB3">
              <w:rPr>
                <w:rFonts w:ascii="宋体" w:eastAsia="宋体" w:hAnsi="宋体" w:hint="eastAsia"/>
                <w:sz w:val="21"/>
                <w:szCs w:val="21"/>
              </w:rPr>
              <w:t>的客户适合购买本产品。</w:t>
            </w:r>
          </w:p>
        </w:tc>
      </w:tr>
      <w:tr w:rsidR="00B124BD" w:rsidRPr="00191CB3" w:rsidTr="00134859">
        <w:trPr>
          <w:trHeight w:val="543"/>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产品期限</w:t>
            </w:r>
          </w:p>
        </w:tc>
        <w:tc>
          <w:tcPr>
            <w:tcW w:w="6949" w:type="dxa"/>
            <w:shd w:val="clear" w:color="auto" w:fill="auto"/>
            <w:tcMar>
              <w:top w:w="15" w:type="dxa"/>
              <w:left w:w="15" w:type="dxa"/>
              <w:bottom w:w="0" w:type="dxa"/>
              <w:right w:w="15" w:type="dxa"/>
            </w:tcMar>
            <w:vAlign w:val="center"/>
          </w:tcPr>
          <w:p w:rsidR="00B124BD" w:rsidRPr="00191CB3" w:rsidRDefault="00B124BD" w:rsidP="00751F58">
            <w:pPr>
              <w:spacing w:line="240" w:lineRule="exact"/>
              <w:jc w:val="left"/>
              <w:rPr>
                <w:rFonts w:ascii="宋体" w:eastAsia="宋体" w:hAnsi="宋体" w:cs="宋体"/>
                <w:sz w:val="21"/>
                <w:szCs w:val="21"/>
              </w:rPr>
            </w:pPr>
            <w:r w:rsidRPr="00751F58">
              <w:rPr>
                <w:rFonts w:ascii="宋体" w:eastAsia="宋体" w:hAnsi="宋体" w:cs="Arial" w:hint="eastAsia"/>
                <w:noProof/>
                <w:snapToGrid w:val="0"/>
                <w:sz w:val="21"/>
                <w:szCs w:val="21"/>
                <w:highlight w:val="yellow"/>
              </w:rPr>
              <w:t>3天</w:t>
            </w:r>
            <w:r w:rsidRPr="00154065">
              <w:rPr>
                <w:rFonts w:ascii="宋体" w:eastAsia="宋体" w:hAnsi="宋体" w:cs="Arial" w:hint="eastAsia"/>
                <w:noProof/>
                <w:snapToGrid w:val="0"/>
                <w:sz w:val="21"/>
                <w:szCs w:val="21"/>
              </w:rPr>
              <w:t>。（由于节假日的影响，理财计划的实际理财天数将大于或小于3天。客户可在开放期内办理赎回，未在规定时间内办理赎回的，视为自动再投资。）</w:t>
            </w:r>
          </w:p>
        </w:tc>
      </w:tr>
      <w:tr w:rsidR="00B124BD" w:rsidRPr="00191CB3" w:rsidTr="00134859">
        <w:trPr>
          <w:trHeight w:val="241"/>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投资及收益币种</w:t>
            </w:r>
          </w:p>
        </w:tc>
        <w:tc>
          <w:tcPr>
            <w:tcW w:w="6949" w:type="dxa"/>
            <w:shd w:val="clear" w:color="auto" w:fill="auto"/>
            <w:tcMar>
              <w:top w:w="15" w:type="dxa"/>
              <w:left w:w="15" w:type="dxa"/>
              <w:bottom w:w="0" w:type="dxa"/>
              <w:right w:w="15" w:type="dxa"/>
            </w:tcMar>
            <w:vAlign w:val="center"/>
          </w:tcPr>
          <w:p w:rsidR="00B124BD" w:rsidRPr="00191CB3" w:rsidRDefault="00B124BD" w:rsidP="00134859">
            <w:pPr>
              <w:spacing w:line="240" w:lineRule="exact"/>
              <w:rPr>
                <w:rFonts w:ascii="宋体" w:eastAsia="宋体" w:hAnsi="宋体" w:cs="宋体"/>
                <w:sz w:val="21"/>
                <w:szCs w:val="21"/>
              </w:rPr>
            </w:pPr>
            <w:r w:rsidRPr="00191CB3">
              <w:rPr>
                <w:rFonts w:ascii="宋体" w:eastAsia="宋体" w:hAnsi="宋体" w:hint="eastAsia"/>
                <w:sz w:val="21"/>
                <w:szCs w:val="21"/>
              </w:rPr>
              <w:t>人民币</w:t>
            </w:r>
          </w:p>
        </w:tc>
      </w:tr>
      <w:tr w:rsidR="00B124BD" w:rsidRPr="00191CB3" w:rsidTr="00134859">
        <w:trPr>
          <w:trHeight w:val="241"/>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产品类型</w:t>
            </w:r>
          </w:p>
        </w:tc>
        <w:tc>
          <w:tcPr>
            <w:tcW w:w="6949" w:type="dxa"/>
            <w:shd w:val="clear" w:color="auto" w:fill="auto"/>
            <w:tcMar>
              <w:top w:w="15" w:type="dxa"/>
              <w:left w:w="15" w:type="dxa"/>
              <w:bottom w:w="0" w:type="dxa"/>
              <w:right w:w="15" w:type="dxa"/>
            </w:tcMar>
            <w:vAlign w:val="center"/>
          </w:tcPr>
          <w:p w:rsidR="00B124BD" w:rsidRPr="00191CB3" w:rsidRDefault="00B124BD" w:rsidP="00134859">
            <w:pPr>
              <w:spacing w:line="240" w:lineRule="exact"/>
              <w:rPr>
                <w:rFonts w:ascii="宋体" w:eastAsia="宋体" w:hAnsi="宋体" w:cs="宋体"/>
                <w:sz w:val="21"/>
                <w:szCs w:val="21"/>
              </w:rPr>
            </w:pPr>
            <w:r w:rsidRPr="00191CB3">
              <w:rPr>
                <w:rFonts w:ascii="宋体" w:eastAsia="宋体" w:hAnsi="宋体"/>
                <w:sz w:val="21"/>
                <w:szCs w:val="21"/>
              </w:rPr>
              <w:t>保本</w:t>
            </w:r>
            <w:r w:rsidRPr="00191CB3">
              <w:rPr>
                <w:rFonts w:ascii="宋体" w:eastAsia="宋体" w:hAnsi="宋体" w:hint="eastAsia"/>
                <w:sz w:val="21"/>
                <w:szCs w:val="21"/>
              </w:rPr>
              <w:t>浮动</w:t>
            </w:r>
            <w:r w:rsidRPr="00191CB3">
              <w:rPr>
                <w:rFonts w:ascii="宋体" w:eastAsia="宋体" w:hAnsi="宋体"/>
                <w:sz w:val="21"/>
                <w:szCs w:val="21"/>
              </w:rPr>
              <w:t>收益型产品</w:t>
            </w:r>
          </w:p>
        </w:tc>
      </w:tr>
      <w:tr w:rsidR="00B124BD" w:rsidRPr="00191CB3" w:rsidTr="00134859">
        <w:trPr>
          <w:trHeight w:val="241"/>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计划发行量</w:t>
            </w:r>
          </w:p>
        </w:tc>
        <w:tc>
          <w:tcPr>
            <w:tcW w:w="6949" w:type="dxa"/>
            <w:shd w:val="clear" w:color="auto" w:fill="auto"/>
            <w:tcMar>
              <w:top w:w="15" w:type="dxa"/>
              <w:left w:w="15" w:type="dxa"/>
              <w:bottom w:w="0" w:type="dxa"/>
              <w:right w:w="15" w:type="dxa"/>
            </w:tcMar>
            <w:vAlign w:val="center"/>
          </w:tcPr>
          <w:p w:rsidR="00B124BD" w:rsidRPr="00191CB3" w:rsidRDefault="00FE525E" w:rsidP="00134859">
            <w:pPr>
              <w:spacing w:line="240" w:lineRule="exact"/>
              <w:rPr>
                <w:rFonts w:ascii="宋体" w:eastAsia="宋体" w:hAnsi="宋体" w:cs="宋体"/>
                <w:sz w:val="21"/>
                <w:szCs w:val="21"/>
              </w:rPr>
            </w:pPr>
            <w:r w:rsidRPr="00751F58">
              <w:rPr>
                <w:rFonts w:ascii="宋体" w:eastAsia="宋体" w:hAnsi="宋体" w:hint="eastAsia"/>
                <w:noProof/>
                <w:sz w:val="21"/>
                <w:szCs w:val="21"/>
                <w:highlight w:val="yellow"/>
              </w:rPr>
              <w:t>3</w:t>
            </w:r>
            <w:r w:rsidR="00B124BD" w:rsidRPr="00751F58">
              <w:rPr>
                <w:rFonts w:ascii="宋体" w:eastAsia="宋体" w:hAnsi="宋体" w:hint="eastAsia"/>
                <w:noProof/>
                <w:sz w:val="21"/>
                <w:szCs w:val="21"/>
                <w:highlight w:val="yellow"/>
              </w:rPr>
              <w:t>亿</w:t>
            </w:r>
            <w:r w:rsidR="00B124BD" w:rsidRPr="00751F58">
              <w:rPr>
                <w:rFonts w:ascii="宋体" w:eastAsia="宋体" w:hAnsi="宋体" w:hint="eastAsia"/>
                <w:sz w:val="21"/>
                <w:szCs w:val="21"/>
                <w:highlight w:val="yellow"/>
              </w:rPr>
              <w:t>元</w:t>
            </w:r>
            <w:r w:rsidR="00B124BD" w:rsidRPr="00191CB3">
              <w:rPr>
                <w:rFonts w:ascii="宋体" w:eastAsia="宋体" w:hAnsi="宋体" w:hint="eastAsia"/>
                <w:sz w:val="21"/>
                <w:szCs w:val="21"/>
              </w:rPr>
              <w:t>，平安银行有权按照实际情况进行调整。</w:t>
            </w:r>
          </w:p>
        </w:tc>
      </w:tr>
      <w:tr w:rsidR="00B124BD" w:rsidRPr="00191CB3" w:rsidTr="00134859">
        <w:trPr>
          <w:trHeight w:val="241"/>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jc w:val="center"/>
              <w:rPr>
                <w:rFonts w:ascii="宋体" w:eastAsia="宋体" w:hAnsi="宋体"/>
                <w:sz w:val="21"/>
                <w:szCs w:val="21"/>
              </w:rPr>
            </w:pPr>
            <w:r w:rsidRPr="00191CB3">
              <w:rPr>
                <w:rFonts w:ascii="宋体" w:eastAsia="宋体" w:hAnsi="宋体"/>
                <w:sz w:val="21"/>
                <w:szCs w:val="21"/>
              </w:rPr>
              <w:t>单位金额</w:t>
            </w:r>
          </w:p>
        </w:tc>
        <w:tc>
          <w:tcPr>
            <w:tcW w:w="6949" w:type="dxa"/>
            <w:shd w:val="clear" w:color="auto" w:fill="auto"/>
            <w:tcMar>
              <w:top w:w="15" w:type="dxa"/>
              <w:left w:w="15" w:type="dxa"/>
              <w:bottom w:w="0" w:type="dxa"/>
              <w:right w:w="15" w:type="dxa"/>
            </w:tcMar>
            <w:vAlign w:val="center"/>
          </w:tcPr>
          <w:p w:rsidR="00B124BD" w:rsidRPr="00191CB3" w:rsidRDefault="00B124BD" w:rsidP="00134859">
            <w:pPr>
              <w:spacing w:line="240" w:lineRule="exact"/>
              <w:rPr>
                <w:rFonts w:ascii="宋体" w:eastAsia="宋体" w:hAnsi="宋体"/>
                <w:sz w:val="21"/>
                <w:szCs w:val="21"/>
              </w:rPr>
            </w:pPr>
            <w:r w:rsidRPr="00191CB3">
              <w:rPr>
                <w:rFonts w:ascii="宋体" w:eastAsia="宋体" w:hAnsi="宋体"/>
                <w:sz w:val="21"/>
                <w:szCs w:val="21"/>
              </w:rPr>
              <w:t>1元</w:t>
            </w:r>
            <w:r w:rsidRPr="00191CB3">
              <w:rPr>
                <w:rFonts w:ascii="宋体" w:eastAsia="宋体" w:hAnsi="宋体" w:hint="eastAsia"/>
                <w:sz w:val="21"/>
                <w:szCs w:val="21"/>
              </w:rPr>
              <w:t>人民币</w:t>
            </w:r>
            <w:r w:rsidRPr="00191CB3">
              <w:rPr>
                <w:rFonts w:ascii="宋体" w:eastAsia="宋体" w:hAnsi="宋体"/>
                <w:sz w:val="21"/>
                <w:szCs w:val="21"/>
              </w:rPr>
              <w:t>为1份</w:t>
            </w:r>
          </w:p>
        </w:tc>
      </w:tr>
      <w:tr w:rsidR="00B124BD" w:rsidRPr="00191CB3" w:rsidTr="00134859">
        <w:trPr>
          <w:trHeight w:val="241"/>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jc w:val="center"/>
              <w:rPr>
                <w:rFonts w:ascii="宋体" w:eastAsia="宋体" w:hAnsi="宋体"/>
                <w:sz w:val="21"/>
                <w:szCs w:val="21"/>
              </w:rPr>
            </w:pPr>
            <w:r w:rsidRPr="00191CB3">
              <w:rPr>
                <w:rFonts w:ascii="宋体" w:eastAsia="宋体" w:hAnsi="宋体" w:hint="eastAsia"/>
                <w:sz w:val="21"/>
                <w:szCs w:val="21"/>
              </w:rPr>
              <w:t>认购起点金额</w:t>
            </w:r>
          </w:p>
        </w:tc>
        <w:tc>
          <w:tcPr>
            <w:tcW w:w="6949" w:type="dxa"/>
            <w:shd w:val="clear" w:color="auto" w:fill="auto"/>
            <w:tcMar>
              <w:top w:w="15" w:type="dxa"/>
              <w:left w:w="15" w:type="dxa"/>
              <w:bottom w:w="0" w:type="dxa"/>
              <w:right w:w="15" w:type="dxa"/>
            </w:tcMar>
            <w:vAlign w:val="center"/>
          </w:tcPr>
          <w:p w:rsidR="00B124BD" w:rsidRPr="00191CB3" w:rsidRDefault="00B124BD" w:rsidP="00134859">
            <w:pPr>
              <w:spacing w:line="240" w:lineRule="exact"/>
              <w:rPr>
                <w:rFonts w:ascii="宋体" w:eastAsia="宋体" w:hAnsi="宋体"/>
                <w:sz w:val="21"/>
                <w:szCs w:val="21"/>
              </w:rPr>
            </w:pPr>
            <w:r w:rsidRPr="00191CB3">
              <w:rPr>
                <w:rFonts w:ascii="宋体" w:eastAsia="宋体" w:hAnsi="宋体" w:hint="eastAsia"/>
                <w:sz w:val="21"/>
                <w:szCs w:val="21"/>
              </w:rPr>
              <w:t>人民币</w:t>
            </w:r>
            <w:r w:rsidRPr="00154065">
              <w:rPr>
                <w:rFonts w:ascii="宋体" w:eastAsia="宋体" w:hAnsi="宋体"/>
                <w:noProof/>
                <w:sz w:val="21"/>
                <w:szCs w:val="21"/>
              </w:rPr>
              <w:t>20</w:t>
            </w:r>
            <w:r w:rsidRPr="00191CB3">
              <w:rPr>
                <w:rFonts w:ascii="宋体" w:eastAsia="宋体" w:hAnsi="宋体" w:hint="eastAsia"/>
                <w:sz w:val="21"/>
                <w:szCs w:val="21"/>
              </w:rPr>
              <w:t>万元</w:t>
            </w:r>
            <w:r w:rsidRPr="00191CB3">
              <w:rPr>
                <w:rFonts w:ascii="宋体" w:eastAsia="宋体" w:hAnsi="宋体"/>
                <w:sz w:val="21"/>
                <w:szCs w:val="21"/>
              </w:rPr>
              <w:t>，超出部分</w:t>
            </w:r>
            <w:r w:rsidRPr="00191CB3">
              <w:rPr>
                <w:rFonts w:ascii="宋体" w:eastAsia="宋体" w:hAnsi="宋体" w:hint="eastAsia"/>
                <w:sz w:val="21"/>
                <w:szCs w:val="21"/>
              </w:rPr>
              <w:t>以</w:t>
            </w:r>
            <w:r w:rsidRPr="00154065">
              <w:rPr>
                <w:rFonts w:ascii="宋体" w:eastAsia="宋体" w:hAnsi="宋体"/>
                <w:noProof/>
                <w:sz w:val="21"/>
                <w:szCs w:val="21"/>
              </w:rPr>
              <w:t>10000</w:t>
            </w:r>
            <w:r>
              <w:rPr>
                <w:rFonts w:ascii="宋体" w:eastAsia="宋体" w:hAnsi="宋体" w:hint="eastAsia"/>
                <w:noProof/>
                <w:sz w:val="21"/>
                <w:szCs w:val="21"/>
              </w:rPr>
              <w:t>的整数倍</w:t>
            </w:r>
            <w:r w:rsidRPr="00191CB3">
              <w:rPr>
                <w:rFonts w:ascii="宋体" w:eastAsia="宋体" w:hAnsi="宋体" w:hint="eastAsia"/>
                <w:sz w:val="21"/>
                <w:szCs w:val="21"/>
              </w:rPr>
              <w:t>元</w:t>
            </w:r>
            <w:r w:rsidRPr="00191CB3">
              <w:rPr>
                <w:rFonts w:ascii="宋体" w:eastAsia="宋体" w:hAnsi="宋体"/>
                <w:sz w:val="21"/>
                <w:szCs w:val="21"/>
              </w:rPr>
              <w:t>递增。</w:t>
            </w:r>
          </w:p>
        </w:tc>
      </w:tr>
      <w:tr w:rsidR="00B124BD" w:rsidRPr="00191CB3" w:rsidTr="00134859">
        <w:trPr>
          <w:trHeight w:val="241"/>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jc w:val="center"/>
              <w:rPr>
                <w:rFonts w:ascii="宋体" w:eastAsia="宋体" w:hAnsi="宋体" w:cs="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产品认购期</w:t>
            </w:r>
          </w:p>
        </w:tc>
        <w:tc>
          <w:tcPr>
            <w:tcW w:w="6949" w:type="dxa"/>
            <w:shd w:val="clear" w:color="auto" w:fill="auto"/>
            <w:tcMar>
              <w:top w:w="15" w:type="dxa"/>
              <w:left w:w="15" w:type="dxa"/>
              <w:bottom w:w="0" w:type="dxa"/>
              <w:right w:w="15" w:type="dxa"/>
            </w:tcMar>
            <w:vAlign w:val="center"/>
          </w:tcPr>
          <w:p w:rsidR="00B124BD" w:rsidRPr="00191CB3" w:rsidRDefault="00B124BD" w:rsidP="00134859">
            <w:pPr>
              <w:spacing w:line="240" w:lineRule="exact"/>
              <w:rPr>
                <w:rFonts w:ascii="宋体" w:eastAsia="宋体" w:hAnsi="宋体"/>
                <w:noProof/>
                <w:sz w:val="21"/>
                <w:szCs w:val="21"/>
              </w:rPr>
            </w:pPr>
            <w:r w:rsidRPr="00751F58">
              <w:rPr>
                <w:rFonts w:ascii="宋体" w:eastAsia="宋体" w:hAnsi="宋体" w:hint="eastAsia"/>
                <w:noProof/>
                <w:sz w:val="21"/>
                <w:szCs w:val="21"/>
                <w:highlight w:val="yellow"/>
              </w:rPr>
              <w:t>2013年</w:t>
            </w:r>
            <w:r w:rsidR="00FE525E" w:rsidRPr="00751F58">
              <w:rPr>
                <w:rFonts w:ascii="宋体" w:eastAsia="宋体" w:hAnsi="宋体" w:hint="eastAsia"/>
                <w:noProof/>
                <w:sz w:val="21"/>
                <w:szCs w:val="21"/>
                <w:highlight w:val="yellow"/>
              </w:rPr>
              <w:t>10</w:t>
            </w:r>
            <w:r w:rsidRPr="00751F58">
              <w:rPr>
                <w:rFonts w:ascii="宋体" w:eastAsia="宋体" w:hAnsi="宋体" w:hint="eastAsia"/>
                <w:noProof/>
                <w:sz w:val="21"/>
                <w:szCs w:val="21"/>
                <w:highlight w:val="yellow"/>
              </w:rPr>
              <w:t>月</w:t>
            </w:r>
            <w:r w:rsidR="00FE525E" w:rsidRPr="00751F58">
              <w:rPr>
                <w:rFonts w:ascii="宋体" w:eastAsia="宋体" w:hAnsi="宋体" w:hint="eastAsia"/>
                <w:noProof/>
                <w:sz w:val="21"/>
                <w:szCs w:val="21"/>
                <w:highlight w:val="yellow"/>
              </w:rPr>
              <w:t>10</w:t>
            </w:r>
            <w:r w:rsidRPr="00751F58">
              <w:rPr>
                <w:rFonts w:ascii="宋体" w:eastAsia="宋体" w:hAnsi="宋体" w:hint="eastAsia"/>
                <w:noProof/>
                <w:sz w:val="21"/>
                <w:szCs w:val="21"/>
                <w:highlight w:val="yellow"/>
              </w:rPr>
              <w:t>日-2013年</w:t>
            </w:r>
            <w:r w:rsidR="00FE525E" w:rsidRPr="00751F58">
              <w:rPr>
                <w:rFonts w:ascii="宋体" w:eastAsia="宋体" w:hAnsi="宋体" w:hint="eastAsia"/>
                <w:noProof/>
                <w:sz w:val="21"/>
                <w:szCs w:val="21"/>
                <w:highlight w:val="yellow"/>
              </w:rPr>
              <w:t>10</w:t>
            </w:r>
            <w:r w:rsidRPr="00751F58">
              <w:rPr>
                <w:rFonts w:ascii="宋体" w:eastAsia="宋体" w:hAnsi="宋体" w:hint="eastAsia"/>
                <w:noProof/>
                <w:sz w:val="21"/>
                <w:szCs w:val="21"/>
                <w:highlight w:val="yellow"/>
              </w:rPr>
              <w:t>月</w:t>
            </w:r>
            <w:r w:rsidR="00FE525E" w:rsidRPr="00751F58">
              <w:rPr>
                <w:rFonts w:ascii="宋体" w:eastAsia="宋体" w:hAnsi="宋体" w:hint="eastAsia"/>
                <w:noProof/>
                <w:sz w:val="21"/>
                <w:szCs w:val="21"/>
                <w:highlight w:val="yellow"/>
              </w:rPr>
              <w:t>11</w:t>
            </w:r>
            <w:r w:rsidRPr="00751F58">
              <w:rPr>
                <w:rFonts w:ascii="宋体" w:eastAsia="宋体" w:hAnsi="宋体" w:hint="eastAsia"/>
                <w:noProof/>
                <w:sz w:val="21"/>
                <w:szCs w:val="21"/>
                <w:highlight w:val="yellow"/>
              </w:rPr>
              <w:t>日</w:t>
            </w:r>
            <w:r w:rsidR="00943F7F" w:rsidRPr="00751F58">
              <w:rPr>
                <w:rFonts w:ascii="宋体" w:eastAsia="宋体" w:hAnsi="宋体" w:hint="eastAsia"/>
                <w:noProof/>
                <w:sz w:val="21"/>
                <w:szCs w:val="21"/>
                <w:highlight w:val="yellow"/>
              </w:rPr>
              <w:t>16：00</w:t>
            </w:r>
          </w:p>
          <w:p w:rsidR="00B124BD" w:rsidRPr="00191CB3" w:rsidRDefault="00B124BD" w:rsidP="00134859">
            <w:pPr>
              <w:spacing w:line="240" w:lineRule="exact"/>
              <w:rPr>
                <w:rFonts w:ascii="宋体" w:eastAsia="宋体" w:hAnsi="宋体"/>
                <w:sz w:val="21"/>
                <w:szCs w:val="21"/>
              </w:rPr>
            </w:pPr>
            <w:r w:rsidRPr="00191CB3">
              <w:rPr>
                <w:rFonts w:ascii="宋体" w:eastAsia="宋体" w:hAnsi="宋体" w:hint="eastAsia"/>
                <w:spacing w:val="4"/>
                <w:sz w:val="21"/>
                <w:szCs w:val="21"/>
              </w:rPr>
              <w:t>平安银行保留延长或提前终止产品认购期的权力。如有变动，产品实际认购期以平安银行公告为准。</w:t>
            </w:r>
            <w:r w:rsidRPr="00191CB3">
              <w:rPr>
                <w:rFonts w:ascii="宋体" w:eastAsia="宋体" w:hAnsi="宋体"/>
                <w:spacing w:val="4"/>
                <w:sz w:val="21"/>
                <w:szCs w:val="21"/>
              </w:rPr>
              <w:t>认购期结束，停止本理财产品销售。</w:t>
            </w:r>
          </w:p>
        </w:tc>
      </w:tr>
      <w:tr w:rsidR="00B124BD" w:rsidRPr="00191CB3" w:rsidTr="00134859">
        <w:trPr>
          <w:trHeight w:val="241"/>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jc w:val="center"/>
              <w:rPr>
                <w:rFonts w:ascii="宋体" w:eastAsia="宋体" w:hAnsi="宋体"/>
                <w:sz w:val="21"/>
                <w:szCs w:val="21"/>
              </w:rPr>
            </w:pPr>
            <w:r w:rsidRPr="00191CB3">
              <w:rPr>
                <w:rFonts w:ascii="宋体" w:eastAsia="宋体" w:hAnsi="宋体" w:hint="eastAsia"/>
                <w:sz w:val="21"/>
                <w:szCs w:val="21"/>
              </w:rPr>
              <w:t>认购划款日</w:t>
            </w:r>
          </w:p>
        </w:tc>
        <w:tc>
          <w:tcPr>
            <w:tcW w:w="6949" w:type="dxa"/>
            <w:shd w:val="clear" w:color="auto" w:fill="auto"/>
            <w:tcMar>
              <w:top w:w="15" w:type="dxa"/>
              <w:left w:w="15" w:type="dxa"/>
              <w:bottom w:w="0" w:type="dxa"/>
              <w:right w:w="15" w:type="dxa"/>
            </w:tcMar>
            <w:vAlign w:val="center"/>
          </w:tcPr>
          <w:p w:rsidR="00B124BD" w:rsidRPr="00191CB3" w:rsidRDefault="00B124BD" w:rsidP="00134859">
            <w:pPr>
              <w:spacing w:line="240" w:lineRule="exact"/>
              <w:rPr>
                <w:rFonts w:ascii="宋体" w:eastAsia="宋体" w:hAnsi="宋体"/>
                <w:sz w:val="21"/>
                <w:szCs w:val="21"/>
              </w:rPr>
            </w:pPr>
            <w:r w:rsidRPr="00191CB3">
              <w:rPr>
                <w:rFonts w:ascii="宋体" w:eastAsia="宋体" w:hAnsi="宋体" w:hint="eastAsia"/>
                <w:noProof/>
                <w:sz w:val="21"/>
                <w:szCs w:val="21"/>
              </w:rPr>
              <w:t>产品成立日当天</w:t>
            </w:r>
          </w:p>
        </w:tc>
      </w:tr>
      <w:tr w:rsidR="00B124BD" w:rsidRPr="00191CB3" w:rsidTr="00134859">
        <w:trPr>
          <w:trHeight w:val="241"/>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jc w:val="center"/>
              <w:rPr>
                <w:rFonts w:ascii="宋体" w:eastAsia="宋体" w:hAnsi="宋体"/>
                <w:sz w:val="21"/>
                <w:szCs w:val="21"/>
              </w:rPr>
            </w:pPr>
            <w:r w:rsidRPr="00191CB3">
              <w:rPr>
                <w:rFonts w:ascii="宋体" w:eastAsia="宋体" w:hAnsi="宋体" w:hint="eastAsia"/>
                <w:sz w:val="21"/>
                <w:szCs w:val="21"/>
              </w:rPr>
              <w:t>产品成立</w:t>
            </w:r>
          </w:p>
        </w:tc>
        <w:tc>
          <w:tcPr>
            <w:tcW w:w="6949" w:type="dxa"/>
            <w:shd w:val="clear" w:color="auto" w:fill="auto"/>
            <w:tcMar>
              <w:top w:w="15" w:type="dxa"/>
              <w:left w:w="15" w:type="dxa"/>
              <w:bottom w:w="0" w:type="dxa"/>
              <w:right w:w="15" w:type="dxa"/>
            </w:tcMar>
            <w:vAlign w:val="center"/>
          </w:tcPr>
          <w:p w:rsidR="00B124BD" w:rsidRPr="00191CB3" w:rsidRDefault="00B124BD" w:rsidP="00134859">
            <w:pPr>
              <w:spacing w:line="240" w:lineRule="exact"/>
              <w:rPr>
                <w:rFonts w:ascii="宋体" w:eastAsia="宋体" w:hAnsi="宋体"/>
                <w:sz w:val="21"/>
                <w:szCs w:val="21"/>
              </w:rPr>
            </w:pPr>
            <w:r w:rsidRPr="00191CB3">
              <w:rPr>
                <w:rFonts w:ascii="宋体" w:eastAsia="宋体" w:hAnsi="宋体" w:hint="eastAsia"/>
                <w:bCs/>
                <w:iCs/>
                <w:sz w:val="21"/>
                <w:szCs w:val="21"/>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3个工作日内将产品本金退还至客户认购账户。</w:t>
            </w:r>
          </w:p>
        </w:tc>
      </w:tr>
      <w:tr w:rsidR="00B124BD" w:rsidRPr="00191CB3" w:rsidTr="00134859">
        <w:trPr>
          <w:trHeight w:val="241"/>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jc w:val="center"/>
              <w:rPr>
                <w:rFonts w:ascii="宋体" w:eastAsia="宋体" w:hAnsi="宋体" w:cs="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产品成立日</w:t>
            </w:r>
          </w:p>
        </w:tc>
        <w:tc>
          <w:tcPr>
            <w:tcW w:w="6949" w:type="dxa"/>
            <w:shd w:val="clear" w:color="auto" w:fill="auto"/>
            <w:tcMar>
              <w:top w:w="15" w:type="dxa"/>
              <w:left w:w="15" w:type="dxa"/>
              <w:bottom w:w="0" w:type="dxa"/>
              <w:right w:w="15" w:type="dxa"/>
            </w:tcMar>
            <w:vAlign w:val="center"/>
          </w:tcPr>
          <w:p w:rsidR="00B124BD" w:rsidRDefault="00B124BD" w:rsidP="00134859">
            <w:pPr>
              <w:spacing w:line="240" w:lineRule="exact"/>
              <w:rPr>
                <w:rFonts w:ascii="宋体" w:eastAsia="宋体" w:hAnsi="宋体"/>
                <w:noProof/>
                <w:sz w:val="21"/>
                <w:szCs w:val="21"/>
              </w:rPr>
            </w:pPr>
            <w:r w:rsidRPr="00751F58">
              <w:rPr>
                <w:rFonts w:ascii="宋体" w:eastAsia="宋体" w:hAnsi="宋体" w:hint="eastAsia"/>
                <w:noProof/>
                <w:sz w:val="21"/>
                <w:szCs w:val="21"/>
                <w:highlight w:val="yellow"/>
              </w:rPr>
              <w:t>2013年</w:t>
            </w:r>
            <w:r w:rsidR="00FE525E" w:rsidRPr="00751F58">
              <w:rPr>
                <w:rFonts w:ascii="宋体" w:eastAsia="宋体" w:hAnsi="宋体" w:hint="eastAsia"/>
                <w:noProof/>
                <w:sz w:val="21"/>
                <w:szCs w:val="21"/>
                <w:highlight w:val="yellow"/>
              </w:rPr>
              <w:t>10</w:t>
            </w:r>
            <w:r w:rsidRPr="00751F58">
              <w:rPr>
                <w:rFonts w:ascii="宋体" w:eastAsia="宋体" w:hAnsi="宋体" w:hint="eastAsia"/>
                <w:noProof/>
                <w:sz w:val="21"/>
                <w:szCs w:val="21"/>
                <w:highlight w:val="yellow"/>
              </w:rPr>
              <w:t>月</w:t>
            </w:r>
            <w:r w:rsidR="00FE525E" w:rsidRPr="00751F58">
              <w:rPr>
                <w:rFonts w:ascii="宋体" w:eastAsia="宋体" w:hAnsi="宋体" w:hint="eastAsia"/>
                <w:noProof/>
                <w:sz w:val="21"/>
                <w:szCs w:val="21"/>
                <w:highlight w:val="yellow"/>
              </w:rPr>
              <w:t>11</w:t>
            </w:r>
            <w:r w:rsidRPr="00751F58">
              <w:rPr>
                <w:rFonts w:ascii="宋体" w:eastAsia="宋体" w:hAnsi="宋体" w:hint="eastAsia"/>
                <w:noProof/>
                <w:sz w:val="21"/>
                <w:szCs w:val="21"/>
                <w:highlight w:val="yellow"/>
              </w:rPr>
              <w:t>日</w:t>
            </w:r>
          </w:p>
          <w:p w:rsidR="00B124BD" w:rsidRPr="00191CB3" w:rsidRDefault="00B124BD" w:rsidP="00134859">
            <w:pPr>
              <w:spacing w:line="240" w:lineRule="exact"/>
              <w:rPr>
                <w:rFonts w:ascii="宋体" w:eastAsia="宋体" w:hAnsi="宋体" w:cs="宋体"/>
                <w:sz w:val="21"/>
                <w:szCs w:val="21"/>
              </w:rPr>
            </w:pPr>
            <w:r w:rsidRPr="00191CB3">
              <w:rPr>
                <w:rFonts w:ascii="宋体" w:eastAsia="宋体" w:hAnsi="宋体" w:hint="eastAsia"/>
                <w:spacing w:val="4"/>
                <w:sz w:val="21"/>
                <w:szCs w:val="21"/>
              </w:rPr>
              <w:t>如产品认购期提前终止或延长，实际成立日以平安银行实际公告为准。</w:t>
            </w:r>
          </w:p>
        </w:tc>
      </w:tr>
      <w:tr w:rsidR="00B124BD" w:rsidRPr="00191CB3" w:rsidTr="00134859">
        <w:trPr>
          <w:trHeight w:val="241"/>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jc w:val="center"/>
              <w:rPr>
                <w:rFonts w:ascii="宋体" w:eastAsia="宋体" w:hAnsi="宋体"/>
                <w:sz w:val="21"/>
                <w:szCs w:val="21"/>
              </w:rPr>
            </w:pPr>
            <w:r w:rsidRPr="00191CB3">
              <w:rPr>
                <w:rFonts w:ascii="宋体" w:eastAsia="宋体" w:hAnsi="宋体" w:hint="eastAsia"/>
                <w:sz w:val="21"/>
                <w:szCs w:val="21"/>
              </w:rPr>
              <w:t>本金及收益支付</w:t>
            </w:r>
          </w:p>
        </w:tc>
        <w:tc>
          <w:tcPr>
            <w:tcW w:w="6949" w:type="dxa"/>
            <w:shd w:val="clear" w:color="auto" w:fill="auto"/>
            <w:tcMar>
              <w:top w:w="15" w:type="dxa"/>
              <w:left w:w="15" w:type="dxa"/>
              <w:bottom w:w="0" w:type="dxa"/>
              <w:right w:w="15" w:type="dxa"/>
            </w:tcMar>
            <w:vAlign w:val="center"/>
          </w:tcPr>
          <w:p w:rsidR="00B124BD" w:rsidRPr="00191CB3" w:rsidRDefault="00B124BD" w:rsidP="00134859">
            <w:pPr>
              <w:spacing w:line="240" w:lineRule="exact"/>
              <w:rPr>
                <w:rFonts w:ascii="宋体" w:eastAsia="宋体" w:hAnsi="宋体"/>
                <w:noProof/>
                <w:sz w:val="21"/>
                <w:szCs w:val="21"/>
              </w:rPr>
            </w:pPr>
            <w:r w:rsidRPr="00191CB3">
              <w:rPr>
                <w:rFonts w:ascii="宋体" w:eastAsia="宋体" w:hAnsi="宋体" w:hint="eastAsia"/>
                <w:sz w:val="21"/>
                <w:szCs w:val="21"/>
              </w:rPr>
              <w:t>若客户申请当期理财期结束后即结束理财或银行提前终止理财，平安银行按照本说明书的规定计算到期收益，并在到期日或银行提前终止日后2个工作日（T+2）内将本金及收益划转到投资者指定账户，逢中国法定节假日顺延。对于选择继续理财的客户，收益支付方式亦为自动到账，且收益不参与下期滚动理财本金。</w:t>
            </w:r>
          </w:p>
        </w:tc>
      </w:tr>
      <w:tr w:rsidR="00B124BD" w:rsidRPr="00191CB3" w:rsidTr="00134859">
        <w:trPr>
          <w:trHeight w:val="241"/>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jc w:val="center"/>
              <w:rPr>
                <w:rFonts w:ascii="宋体" w:eastAsia="宋体" w:hAnsi="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产品到期日</w:t>
            </w:r>
          </w:p>
        </w:tc>
        <w:tc>
          <w:tcPr>
            <w:tcW w:w="6949" w:type="dxa"/>
            <w:shd w:val="clear" w:color="auto" w:fill="auto"/>
            <w:tcMar>
              <w:top w:w="15" w:type="dxa"/>
              <w:left w:w="15" w:type="dxa"/>
              <w:bottom w:w="0" w:type="dxa"/>
              <w:right w:w="15" w:type="dxa"/>
            </w:tcMar>
            <w:vAlign w:val="center"/>
          </w:tcPr>
          <w:p w:rsidR="00B124BD" w:rsidRPr="00191CB3" w:rsidRDefault="00B124BD" w:rsidP="00134859">
            <w:pPr>
              <w:spacing w:line="240" w:lineRule="exact"/>
              <w:rPr>
                <w:rFonts w:ascii="宋体" w:eastAsia="宋体" w:hAnsi="宋体"/>
                <w:sz w:val="21"/>
                <w:szCs w:val="21"/>
              </w:rPr>
            </w:pPr>
            <w:r w:rsidRPr="00751F58">
              <w:rPr>
                <w:rFonts w:ascii="宋体" w:eastAsia="宋体" w:hAnsi="宋体" w:cs="Arial" w:hint="eastAsia"/>
                <w:noProof/>
                <w:snapToGrid w:val="0"/>
                <w:spacing w:val="-4"/>
                <w:sz w:val="21"/>
                <w:szCs w:val="21"/>
                <w:highlight w:val="yellow"/>
              </w:rPr>
              <w:t>2013年</w:t>
            </w:r>
            <w:r w:rsidR="00FE525E" w:rsidRPr="00751F58">
              <w:rPr>
                <w:rFonts w:ascii="宋体" w:eastAsia="宋体" w:hAnsi="宋体" w:cs="Arial" w:hint="eastAsia"/>
                <w:noProof/>
                <w:snapToGrid w:val="0"/>
                <w:spacing w:val="-4"/>
                <w:sz w:val="21"/>
                <w:szCs w:val="21"/>
                <w:highlight w:val="yellow"/>
              </w:rPr>
              <w:t>10</w:t>
            </w:r>
            <w:r w:rsidRPr="00751F58">
              <w:rPr>
                <w:rFonts w:ascii="宋体" w:eastAsia="宋体" w:hAnsi="宋体" w:cs="Arial" w:hint="eastAsia"/>
                <w:noProof/>
                <w:snapToGrid w:val="0"/>
                <w:spacing w:val="-4"/>
                <w:sz w:val="21"/>
                <w:szCs w:val="21"/>
                <w:highlight w:val="yellow"/>
              </w:rPr>
              <w:t>月</w:t>
            </w:r>
            <w:r w:rsidR="00FE525E" w:rsidRPr="00751F58">
              <w:rPr>
                <w:rFonts w:ascii="宋体" w:eastAsia="宋体" w:hAnsi="宋体" w:cs="Arial" w:hint="eastAsia"/>
                <w:noProof/>
                <w:snapToGrid w:val="0"/>
                <w:spacing w:val="-4"/>
                <w:sz w:val="21"/>
                <w:szCs w:val="21"/>
                <w:highlight w:val="yellow"/>
              </w:rPr>
              <w:t>14</w:t>
            </w:r>
            <w:r w:rsidRPr="00751F58">
              <w:rPr>
                <w:rFonts w:ascii="宋体" w:eastAsia="宋体" w:hAnsi="宋体" w:cs="Arial" w:hint="eastAsia"/>
                <w:noProof/>
                <w:snapToGrid w:val="0"/>
                <w:spacing w:val="-4"/>
                <w:sz w:val="21"/>
                <w:szCs w:val="21"/>
                <w:highlight w:val="yellow"/>
              </w:rPr>
              <w:t>日</w:t>
            </w:r>
          </w:p>
        </w:tc>
      </w:tr>
      <w:tr w:rsidR="00B124BD" w:rsidRPr="00191CB3" w:rsidTr="00134859">
        <w:trPr>
          <w:trHeight w:val="241"/>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ind w:firstLineChars="200" w:firstLine="420"/>
              <w:rPr>
                <w:rFonts w:ascii="宋体" w:eastAsia="宋体" w:hAnsi="宋体"/>
                <w:sz w:val="21"/>
                <w:szCs w:val="21"/>
              </w:rPr>
            </w:pPr>
            <w:r w:rsidRPr="00191CB3">
              <w:rPr>
                <w:rFonts w:ascii="宋体" w:eastAsia="宋体" w:hAnsi="宋体" w:hint="eastAsia"/>
                <w:sz w:val="21"/>
                <w:szCs w:val="21"/>
              </w:rPr>
              <w:t>资金到账日</w:t>
            </w:r>
          </w:p>
        </w:tc>
        <w:tc>
          <w:tcPr>
            <w:tcW w:w="6949" w:type="dxa"/>
            <w:shd w:val="clear" w:color="auto" w:fill="auto"/>
            <w:tcMar>
              <w:top w:w="15" w:type="dxa"/>
              <w:left w:w="15" w:type="dxa"/>
              <w:bottom w:w="0" w:type="dxa"/>
              <w:right w:w="15" w:type="dxa"/>
            </w:tcMar>
            <w:vAlign w:val="center"/>
          </w:tcPr>
          <w:p w:rsidR="00B124BD" w:rsidRPr="00191CB3" w:rsidRDefault="00B124BD"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产品</w:t>
            </w:r>
            <w:r w:rsidRPr="00191CB3">
              <w:rPr>
                <w:rFonts w:ascii="宋体" w:eastAsia="宋体" w:hAnsi="宋体"/>
                <w:spacing w:val="4"/>
                <w:sz w:val="21"/>
                <w:szCs w:val="21"/>
              </w:rPr>
              <w:t>到期日、提前终止日</w:t>
            </w:r>
            <w:r w:rsidRPr="00191CB3">
              <w:rPr>
                <w:rFonts w:ascii="宋体" w:eastAsia="宋体" w:hAnsi="宋体" w:hint="eastAsia"/>
                <w:spacing w:val="4"/>
                <w:sz w:val="21"/>
                <w:szCs w:val="21"/>
              </w:rPr>
              <w:t>或延期终止日</w:t>
            </w:r>
            <w:r w:rsidRPr="00191CB3">
              <w:rPr>
                <w:rFonts w:ascii="宋体" w:eastAsia="宋体" w:hAnsi="宋体"/>
                <w:spacing w:val="4"/>
                <w:sz w:val="21"/>
                <w:szCs w:val="21"/>
              </w:rPr>
              <w:t>后</w:t>
            </w:r>
            <w:r w:rsidRPr="00191CB3">
              <w:rPr>
                <w:rFonts w:ascii="宋体" w:eastAsia="宋体" w:hAnsi="宋体" w:hint="eastAsia"/>
                <w:spacing w:val="4"/>
                <w:sz w:val="21"/>
                <w:szCs w:val="21"/>
              </w:rPr>
              <w:t>2</w:t>
            </w:r>
            <w:r w:rsidRPr="00191CB3">
              <w:rPr>
                <w:rFonts w:ascii="宋体" w:eastAsia="宋体" w:hAnsi="宋体"/>
                <w:spacing w:val="4"/>
                <w:sz w:val="21"/>
                <w:szCs w:val="21"/>
              </w:rPr>
              <w:t>个工作日（T+</w:t>
            </w:r>
            <w:r w:rsidRPr="00191CB3">
              <w:rPr>
                <w:rFonts w:ascii="宋体" w:eastAsia="宋体" w:hAnsi="宋体" w:hint="eastAsia"/>
                <w:spacing w:val="4"/>
                <w:sz w:val="21"/>
                <w:szCs w:val="21"/>
              </w:rPr>
              <w:t>2</w:t>
            </w:r>
            <w:r w:rsidRPr="00191CB3">
              <w:rPr>
                <w:rFonts w:ascii="宋体" w:eastAsia="宋体" w:hAnsi="宋体"/>
                <w:spacing w:val="4"/>
                <w:sz w:val="21"/>
                <w:szCs w:val="21"/>
              </w:rPr>
              <w:t>）内将本金</w:t>
            </w:r>
            <w:r w:rsidRPr="00191CB3">
              <w:rPr>
                <w:rFonts w:ascii="宋体" w:eastAsia="宋体" w:hAnsi="宋体" w:hint="eastAsia"/>
                <w:spacing w:val="4"/>
                <w:sz w:val="21"/>
                <w:szCs w:val="21"/>
              </w:rPr>
              <w:t>和收益</w:t>
            </w:r>
            <w:r w:rsidRPr="00191CB3">
              <w:rPr>
                <w:rFonts w:ascii="宋体" w:eastAsia="宋体" w:hAnsi="宋体"/>
                <w:spacing w:val="4"/>
                <w:sz w:val="21"/>
                <w:szCs w:val="21"/>
              </w:rPr>
              <w:t>划转到投资者指定账户，逢节假日顺延。</w:t>
            </w:r>
          </w:p>
        </w:tc>
      </w:tr>
      <w:tr w:rsidR="00B124BD" w:rsidRPr="00191CB3" w:rsidTr="00134859">
        <w:trPr>
          <w:trHeight w:val="241"/>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ind w:firstLineChars="200" w:firstLine="420"/>
              <w:rPr>
                <w:rFonts w:ascii="宋体" w:eastAsia="宋体" w:hAnsi="宋体"/>
                <w:sz w:val="21"/>
                <w:szCs w:val="21"/>
              </w:rPr>
            </w:pPr>
            <w:r w:rsidRPr="00191CB3">
              <w:rPr>
                <w:rFonts w:ascii="宋体" w:eastAsia="宋体" w:hAnsi="宋体" w:hint="eastAsia"/>
                <w:sz w:val="21"/>
                <w:szCs w:val="21"/>
              </w:rPr>
              <w:t>资金保管人</w:t>
            </w:r>
          </w:p>
        </w:tc>
        <w:tc>
          <w:tcPr>
            <w:tcW w:w="6949" w:type="dxa"/>
            <w:shd w:val="clear" w:color="auto" w:fill="auto"/>
            <w:tcMar>
              <w:top w:w="15" w:type="dxa"/>
              <w:left w:w="15" w:type="dxa"/>
              <w:bottom w:w="0" w:type="dxa"/>
              <w:right w:w="15" w:type="dxa"/>
            </w:tcMar>
            <w:vAlign w:val="center"/>
          </w:tcPr>
          <w:p w:rsidR="00B124BD" w:rsidRPr="00191CB3" w:rsidRDefault="00B124BD"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平安银行股份有限公司</w:t>
            </w:r>
          </w:p>
        </w:tc>
      </w:tr>
      <w:tr w:rsidR="00B124BD" w:rsidRPr="00191CB3" w:rsidTr="00134859">
        <w:trPr>
          <w:trHeight w:val="241"/>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jc w:val="center"/>
              <w:rPr>
                <w:rFonts w:ascii="宋体" w:eastAsia="宋体" w:hAnsi="宋体"/>
                <w:sz w:val="21"/>
                <w:szCs w:val="21"/>
              </w:rPr>
            </w:pPr>
            <w:r>
              <w:rPr>
                <w:rFonts w:ascii="宋体" w:eastAsia="宋体" w:hAnsi="宋体" w:hint="eastAsia"/>
                <w:sz w:val="21"/>
                <w:szCs w:val="21"/>
              </w:rPr>
              <w:t>本期产品</w:t>
            </w:r>
            <w:r w:rsidRPr="00191CB3">
              <w:rPr>
                <w:rFonts w:ascii="宋体" w:eastAsia="宋体" w:hAnsi="宋体" w:hint="eastAsia"/>
                <w:sz w:val="21"/>
                <w:szCs w:val="21"/>
              </w:rPr>
              <w:t>收益率测算</w:t>
            </w:r>
          </w:p>
        </w:tc>
        <w:tc>
          <w:tcPr>
            <w:tcW w:w="6949" w:type="dxa"/>
            <w:shd w:val="clear" w:color="auto" w:fill="auto"/>
            <w:tcMar>
              <w:top w:w="15" w:type="dxa"/>
              <w:left w:w="15" w:type="dxa"/>
              <w:bottom w:w="0" w:type="dxa"/>
              <w:right w:w="15" w:type="dxa"/>
            </w:tcMar>
            <w:vAlign w:val="center"/>
          </w:tcPr>
          <w:p w:rsidR="00B124BD" w:rsidRPr="00191CB3" w:rsidRDefault="00B124BD" w:rsidP="00134859">
            <w:pPr>
              <w:widowControl/>
              <w:spacing w:line="240" w:lineRule="exact"/>
              <w:jc w:val="left"/>
              <w:rPr>
                <w:rFonts w:ascii="宋体" w:eastAsia="宋体" w:hAnsi="宋体" w:cs="Arial"/>
                <w:snapToGrid w:val="0"/>
                <w:sz w:val="21"/>
                <w:szCs w:val="21"/>
              </w:rPr>
            </w:pPr>
            <w:r w:rsidRPr="00191CB3">
              <w:rPr>
                <w:rFonts w:ascii="宋体" w:eastAsia="宋体" w:hAnsi="宋体" w:hint="eastAsia"/>
                <w:color w:val="000000"/>
                <w:sz w:val="21"/>
                <w:szCs w:val="21"/>
              </w:rPr>
              <w:t>根据当期可投资资产收益率</w:t>
            </w:r>
            <w:r w:rsidRPr="00191CB3">
              <w:rPr>
                <w:rFonts w:ascii="宋体" w:eastAsia="宋体" w:hAnsi="宋体" w:cs="Arial" w:hint="eastAsia"/>
                <w:snapToGrid w:val="0"/>
                <w:sz w:val="21"/>
                <w:szCs w:val="21"/>
              </w:rPr>
              <w:t>，扣除产品的成本，</w:t>
            </w:r>
            <w:r>
              <w:rPr>
                <w:rFonts w:ascii="宋体" w:eastAsia="宋体" w:hAnsi="宋体" w:cs="Arial" w:hint="eastAsia"/>
                <w:snapToGrid w:val="0"/>
                <w:sz w:val="21"/>
                <w:szCs w:val="21"/>
              </w:rPr>
              <w:t>本</w:t>
            </w:r>
            <w:r w:rsidRPr="00191CB3">
              <w:rPr>
                <w:rFonts w:ascii="宋体" w:eastAsia="宋体" w:hAnsi="宋体" w:cs="Arial" w:hint="eastAsia"/>
                <w:snapToGrid w:val="0"/>
                <w:sz w:val="21"/>
                <w:szCs w:val="21"/>
              </w:rPr>
              <w:t>期产品预期最高年化收益率为</w:t>
            </w:r>
            <w:r w:rsidRPr="00751F58">
              <w:rPr>
                <w:rFonts w:ascii="宋体" w:eastAsia="宋体" w:hAnsi="宋体"/>
                <w:noProof/>
                <w:sz w:val="21"/>
                <w:szCs w:val="21"/>
                <w:highlight w:val="yellow"/>
              </w:rPr>
              <w:t>2.85%</w:t>
            </w:r>
            <w:r w:rsidRPr="00751F58">
              <w:rPr>
                <w:rFonts w:ascii="宋体" w:eastAsia="宋体" w:hAnsi="宋体" w:cs="Arial" w:hint="eastAsia"/>
                <w:snapToGrid w:val="0"/>
                <w:sz w:val="21"/>
                <w:szCs w:val="21"/>
                <w:highlight w:val="yellow"/>
              </w:rPr>
              <w:t>。</w:t>
            </w:r>
            <w:r w:rsidRPr="00191CB3">
              <w:rPr>
                <w:rFonts w:ascii="宋体" w:eastAsia="宋体" w:hAnsi="宋体" w:hint="eastAsia"/>
                <w:sz w:val="21"/>
                <w:szCs w:val="21"/>
              </w:rPr>
              <w:t>超过预期最高年化收益率的收益部分作为平安银行的手续费。</w:t>
            </w:r>
            <w:r w:rsidRPr="00191CB3">
              <w:rPr>
                <w:rFonts w:ascii="宋体" w:eastAsia="宋体" w:hAnsi="宋体" w:cs="Arial" w:hint="eastAsia"/>
                <w:snapToGrid w:val="0"/>
                <w:sz w:val="21"/>
                <w:szCs w:val="21"/>
              </w:rPr>
              <w:t>平安银行有权根据理财产品资金运作情况调整预期最高年化收益率，以后各期预期最高年化收益率详见平安银行网站当期信息公告。</w:t>
            </w:r>
          </w:p>
        </w:tc>
      </w:tr>
      <w:tr w:rsidR="00B124BD" w:rsidRPr="00191CB3" w:rsidTr="00134859">
        <w:trPr>
          <w:trHeight w:val="241"/>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jc w:val="center"/>
              <w:rPr>
                <w:rFonts w:ascii="宋体" w:eastAsia="宋体" w:hAnsi="宋体"/>
                <w:sz w:val="21"/>
                <w:szCs w:val="21"/>
              </w:rPr>
            </w:pPr>
            <w:r w:rsidRPr="00191CB3">
              <w:rPr>
                <w:rFonts w:ascii="宋体" w:eastAsia="宋体" w:hAnsi="宋体" w:hint="eastAsia"/>
                <w:sz w:val="21"/>
                <w:szCs w:val="21"/>
              </w:rPr>
              <w:t>产品认购</w:t>
            </w:r>
          </w:p>
        </w:tc>
        <w:tc>
          <w:tcPr>
            <w:tcW w:w="6949" w:type="dxa"/>
            <w:shd w:val="clear" w:color="auto" w:fill="auto"/>
            <w:tcMar>
              <w:top w:w="15" w:type="dxa"/>
              <w:left w:w="15" w:type="dxa"/>
              <w:bottom w:w="0" w:type="dxa"/>
              <w:right w:w="15" w:type="dxa"/>
            </w:tcMar>
            <w:vAlign w:val="center"/>
          </w:tcPr>
          <w:p w:rsidR="00B124BD" w:rsidRPr="00191CB3" w:rsidRDefault="00B124BD" w:rsidP="00134859">
            <w:pPr>
              <w:spacing w:line="240" w:lineRule="exact"/>
              <w:rPr>
                <w:rFonts w:ascii="宋体" w:eastAsia="宋体" w:hAnsi="宋体"/>
                <w:sz w:val="21"/>
                <w:szCs w:val="21"/>
              </w:rPr>
            </w:pPr>
            <w:r w:rsidRPr="00191CB3">
              <w:rPr>
                <w:rFonts w:ascii="宋体" w:eastAsia="宋体" w:hAnsi="宋体" w:cs="Arial" w:hint="eastAsia"/>
                <w:snapToGrid w:val="0"/>
                <w:sz w:val="21"/>
                <w:szCs w:val="21"/>
              </w:rPr>
              <w:t>所有符合本理财产品投资要求的投资者均可携带本人身份证件及借记卡到各营业网点办理或平安银行网上银行及电话银行办理认购手续。</w:t>
            </w:r>
          </w:p>
        </w:tc>
      </w:tr>
      <w:tr w:rsidR="00B124BD" w:rsidRPr="00191CB3" w:rsidTr="00134859">
        <w:trPr>
          <w:trHeight w:val="241"/>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jc w:val="center"/>
              <w:rPr>
                <w:rFonts w:ascii="宋体" w:eastAsia="宋体" w:hAnsi="宋体"/>
                <w:sz w:val="21"/>
                <w:szCs w:val="21"/>
              </w:rPr>
            </w:pPr>
            <w:r w:rsidRPr="00191CB3">
              <w:rPr>
                <w:rFonts w:ascii="宋体" w:eastAsia="宋体" w:hAnsi="宋体" w:hint="eastAsia"/>
                <w:sz w:val="21"/>
                <w:szCs w:val="21"/>
              </w:rPr>
              <w:t>提前和延期终止权</w:t>
            </w:r>
          </w:p>
        </w:tc>
        <w:tc>
          <w:tcPr>
            <w:tcW w:w="6949" w:type="dxa"/>
            <w:shd w:val="clear" w:color="auto" w:fill="auto"/>
            <w:tcMar>
              <w:top w:w="15" w:type="dxa"/>
              <w:left w:w="15" w:type="dxa"/>
              <w:bottom w:w="0" w:type="dxa"/>
              <w:right w:w="15" w:type="dxa"/>
            </w:tcMar>
            <w:vAlign w:val="center"/>
          </w:tcPr>
          <w:p w:rsidR="00B124BD" w:rsidRPr="00191CB3" w:rsidRDefault="00B124BD" w:rsidP="00134859">
            <w:pPr>
              <w:adjustRightInd w:val="0"/>
              <w:snapToGrid w:val="0"/>
              <w:spacing w:line="240" w:lineRule="exact"/>
              <w:textAlignment w:val="center"/>
              <w:rPr>
                <w:rFonts w:ascii="宋体" w:eastAsia="宋体" w:hAnsi="宋体" w:cs="Arial"/>
                <w:sz w:val="21"/>
                <w:szCs w:val="21"/>
              </w:rPr>
            </w:pPr>
            <w:r w:rsidRPr="00191CB3">
              <w:rPr>
                <w:rFonts w:ascii="宋体" w:eastAsia="宋体" w:hAnsi="宋体" w:hint="eastAsia"/>
                <w:sz w:val="21"/>
                <w:szCs w:val="21"/>
              </w:rPr>
              <w:t>在每个</w:t>
            </w:r>
            <w:r w:rsidRPr="00191CB3">
              <w:rPr>
                <w:rFonts w:ascii="宋体" w:eastAsia="宋体" w:hAnsi="宋体"/>
                <w:sz w:val="21"/>
                <w:szCs w:val="21"/>
              </w:rPr>
              <w:t>理财期内，投资者无提前终止本理财计划的权利。</w:t>
            </w:r>
            <w:r w:rsidRPr="00191CB3">
              <w:rPr>
                <w:rFonts w:ascii="宋体" w:eastAsia="宋体" w:hAnsi="宋体" w:cs="Arial"/>
                <w:sz w:val="21"/>
                <w:szCs w:val="21"/>
              </w:rPr>
              <w:t>平安银行对本产品</w:t>
            </w:r>
            <w:r w:rsidRPr="00191CB3">
              <w:rPr>
                <w:rFonts w:ascii="宋体" w:eastAsia="宋体" w:hAnsi="宋体" w:cs="Arial"/>
                <w:sz w:val="21"/>
                <w:szCs w:val="21"/>
              </w:rPr>
              <w:lastRenderedPageBreak/>
              <w:t>实行定期滚动发行方式，并保留</w:t>
            </w:r>
            <w:r w:rsidRPr="00191CB3">
              <w:rPr>
                <w:rFonts w:ascii="宋体" w:eastAsia="宋体" w:hAnsi="宋体" w:cs="Arial"/>
                <w:snapToGrid w:val="0"/>
                <w:sz w:val="21"/>
                <w:szCs w:val="21"/>
              </w:rPr>
              <w:t>在每个理财期</w:t>
            </w:r>
            <w:r w:rsidRPr="00191CB3">
              <w:rPr>
                <w:rFonts w:ascii="宋体" w:eastAsia="宋体" w:hAnsi="宋体" w:cs="Arial" w:hint="eastAsia"/>
                <w:snapToGrid w:val="0"/>
                <w:sz w:val="21"/>
                <w:szCs w:val="21"/>
              </w:rPr>
              <w:t>间</w:t>
            </w:r>
            <w:r w:rsidRPr="00191CB3">
              <w:rPr>
                <w:rFonts w:ascii="宋体" w:eastAsia="宋体" w:hAnsi="宋体" w:cs="Arial"/>
                <w:snapToGrid w:val="0"/>
                <w:sz w:val="21"/>
                <w:szCs w:val="21"/>
              </w:rPr>
              <w:t>提前终止理财</w:t>
            </w:r>
            <w:r w:rsidRPr="00191CB3">
              <w:rPr>
                <w:rFonts w:ascii="宋体" w:eastAsia="宋体" w:hAnsi="宋体" w:cs="Arial" w:hint="eastAsia"/>
                <w:snapToGrid w:val="0"/>
                <w:sz w:val="21"/>
                <w:szCs w:val="21"/>
              </w:rPr>
              <w:t>以</w:t>
            </w:r>
            <w:r w:rsidRPr="00191CB3">
              <w:rPr>
                <w:rFonts w:ascii="宋体" w:eastAsia="宋体" w:hAnsi="宋体" w:cs="Arial" w:hint="eastAsia"/>
                <w:sz w:val="21"/>
                <w:szCs w:val="21"/>
              </w:rPr>
              <w:t>及</w:t>
            </w:r>
            <w:r w:rsidRPr="00191CB3">
              <w:rPr>
                <w:rFonts w:ascii="宋体" w:eastAsia="宋体" w:hAnsi="宋体" w:cs="Arial"/>
                <w:sz w:val="21"/>
                <w:szCs w:val="21"/>
              </w:rPr>
              <w:t>在任一理财期到期时终止此类产品滚动发行的权利。</w:t>
            </w:r>
          </w:p>
          <w:p w:rsidR="00B124BD" w:rsidRPr="00191CB3" w:rsidRDefault="00B124BD" w:rsidP="00134859">
            <w:pPr>
              <w:spacing w:line="240" w:lineRule="exact"/>
              <w:rPr>
                <w:rFonts w:ascii="宋体" w:eastAsia="宋体" w:hAnsi="宋体"/>
                <w:sz w:val="21"/>
                <w:szCs w:val="21"/>
              </w:rPr>
            </w:pPr>
            <w:r w:rsidRPr="00191CB3">
              <w:rPr>
                <w:rFonts w:ascii="宋体" w:eastAsia="宋体" w:hAnsi="宋体" w:hint="eastAsia"/>
                <w:sz w:val="21"/>
                <w:szCs w:val="21"/>
              </w:rPr>
              <w:t>银行在提前终止日或者在产品到期日前2个工作日发布信息公告。</w:t>
            </w:r>
          </w:p>
        </w:tc>
      </w:tr>
      <w:tr w:rsidR="00B124BD" w:rsidRPr="00191CB3" w:rsidTr="00134859">
        <w:trPr>
          <w:trHeight w:val="241"/>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lastRenderedPageBreak/>
              <w:t>工作日</w:t>
            </w:r>
          </w:p>
        </w:tc>
        <w:tc>
          <w:tcPr>
            <w:tcW w:w="6949" w:type="dxa"/>
            <w:shd w:val="clear" w:color="auto" w:fill="auto"/>
            <w:tcMar>
              <w:top w:w="15" w:type="dxa"/>
              <w:left w:w="15" w:type="dxa"/>
              <w:bottom w:w="0" w:type="dxa"/>
              <w:right w:w="15" w:type="dxa"/>
            </w:tcMar>
            <w:vAlign w:val="center"/>
          </w:tcPr>
          <w:p w:rsidR="00B124BD" w:rsidRPr="00191CB3" w:rsidRDefault="00B124BD" w:rsidP="00134859">
            <w:pPr>
              <w:adjustRightInd w:val="0"/>
              <w:snapToGrid w:val="0"/>
              <w:spacing w:line="240" w:lineRule="exact"/>
              <w:textAlignment w:val="center"/>
              <w:rPr>
                <w:rFonts w:ascii="宋体" w:eastAsia="宋体" w:hAnsi="宋体" w:cs="宋体"/>
                <w:sz w:val="21"/>
                <w:szCs w:val="21"/>
              </w:rPr>
            </w:pPr>
            <w:r w:rsidRPr="00191CB3">
              <w:rPr>
                <w:rFonts w:ascii="宋体" w:eastAsia="宋体" w:hAnsi="宋体" w:cs="Arial" w:hint="eastAsia"/>
                <w:snapToGrid w:val="0"/>
                <w:sz w:val="21"/>
                <w:szCs w:val="21"/>
              </w:rPr>
              <w:t>国家法定工作日</w:t>
            </w:r>
          </w:p>
        </w:tc>
      </w:tr>
      <w:tr w:rsidR="00B124BD" w:rsidRPr="00191CB3" w:rsidTr="00134859">
        <w:trPr>
          <w:trHeight w:val="241"/>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jc w:val="center"/>
              <w:rPr>
                <w:rFonts w:ascii="宋体" w:eastAsia="宋体" w:hAnsi="宋体" w:cs="宋体"/>
                <w:sz w:val="21"/>
                <w:szCs w:val="21"/>
              </w:rPr>
            </w:pPr>
            <w:r w:rsidRPr="00191CB3">
              <w:rPr>
                <w:rFonts w:ascii="宋体" w:eastAsia="宋体" w:hAnsi="宋体" w:cs="宋体" w:hint="eastAsia"/>
                <w:sz w:val="21"/>
                <w:szCs w:val="21"/>
              </w:rPr>
              <w:t>收益计算方法</w:t>
            </w:r>
          </w:p>
        </w:tc>
        <w:tc>
          <w:tcPr>
            <w:tcW w:w="6949" w:type="dxa"/>
            <w:shd w:val="clear" w:color="auto" w:fill="auto"/>
            <w:tcMar>
              <w:top w:w="15" w:type="dxa"/>
              <w:left w:w="15" w:type="dxa"/>
              <w:bottom w:w="0" w:type="dxa"/>
              <w:right w:w="15" w:type="dxa"/>
            </w:tcMar>
            <w:vAlign w:val="center"/>
          </w:tcPr>
          <w:p w:rsidR="00B124BD" w:rsidRPr="00191CB3" w:rsidRDefault="00B124BD"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正常到期：产品实际收益 = 投资本金×当期实际</w:t>
            </w:r>
            <w:r w:rsidRPr="00191CB3">
              <w:rPr>
                <w:rFonts w:ascii="宋体" w:eastAsia="宋体" w:hAnsi="宋体" w:hint="eastAsia"/>
                <w:sz w:val="21"/>
                <w:szCs w:val="21"/>
              </w:rPr>
              <w:t>年化收益率</w:t>
            </w:r>
            <w:r w:rsidRPr="00191CB3">
              <w:rPr>
                <w:rFonts w:ascii="宋体" w:eastAsia="宋体" w:hAnsi="宋体" w:hint="eastAsia"/>
                <w:spacing w:val="4"/>
                <w:sz w:val="21"/>
                <w:szCs w:val="21"/>
              </w:rPr>
              <w:t>/365×当期存续天数</w:t>
            </w:r>
          </w:p>
          <w:p w:rsidR="00B124BD" w:rsidRPr="00191CB3" w:rsidRDefault="00B124BD"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提前（延期）终止：产品实际收益 = 投资本金×当期实际</w:t>
            </w:r>
            <w:r w:rsidRPr="00191CB3">
              <w:rPr>
                <w:rFonts w:ascii="宋体" w:eastAsia="宋体" w:hAnsi="宋体" w:hint="eastAsia"/>
                <w:sz w:val="21"/>
                <w:szCs w:val="21"/>
              </w:rPr>
              <w:t>年化收益率</w:t>
            </w:r>
            <w:r w:rsidRPr="00191CB3">
              <w:rPr>
                <w:rFonts w:ascii="宋体" w:eastAsia="宋体" w:hAnsi="宋体" w:hint="eastAsia"/>
                <w:spacing w:val="4"/>
                <w:sz w:val="21"/>
                <w:szCs w:val="21"/>
              </w:rPr>
              <w:t>/365×实际存续天数</w:t>
            </w:r>
          </w:p>
        </w:tc>
      </w:tr>
      <w:tr w:rsidR="00B124BD" w:rsidRPr="00191CB3" w:rsidTr="00134859">
        <w:trPr>
          <w:trHeight w:val="241"/>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税款</w:t>
            </w:r>
          </w:p>
        </w:tc>
        <w:tc>
          <w:tcPr>
            <w:tcW w:w="6949" w:type="dxa"/>
            <w:shd w:val="clear" w:color="auto" w:fill="auto"/>
            <w:tcMar>
              <w:top w:w="15" w:type="dxa"/>
              <w:left w:w="15" w:type="dxa"/>
              <w:bottom w:w="0" w:type="dxa"/>
              <w:right w:w="15" w:type="dxa"/>
            </w:tcMar>
            <w:vAlign w:val="center"/>
          </w:tcPr>
          <w:p w:rsidR="00B124BD" w:rsidRPr="00191CB3" w:rsidRDefault="00B124BD" w:rsidP="00134859">
            <w:pPr>
              <w:spacing w:line="240" w:lineRule="exact"/>
              <w:rPr>
                <w:rFonts w:ascii="宋体" w:eastAsia="宋体" w:hAnsi="宋体" w:cs="宋体"/>
                <w:sz w:val="21"/>
                <w:szCs w:val="21"/>
              </w:rPr>
            </w:pPr>
            <w:r w:rsidRPr="00191CB3">
              <w:rPr>
                <w:rFonts w:ascii="宋体" w:eastAsia="宋体" w:hAnsi="宋体" w:hint="eastAsia"/>
                <w:sz w:val="21"/>
                <w:szCs w:val="21"/>
              </w:rPr>
              <w:t>理财收益的应纳税款由投资者自行申报及缴纳</w:t>
            </w:r>
          </w:p>
        </w:tc>
      </w:tr>
      <w:tr w:rsidR="00B124BD" w:rsidRPr="00191CB3" w:rsidTr="00134859">
        <w:trPr>
          <w:trHeight w:val="241"/>
        </w:trPr>
        <w:tc>
          <w:tcPr>
            <w:tcW w:w="2124" w:type="dxa"/>
            <w:shd w:val="clear" w:color="auto" w:fill="auto"/>
            <w:noWrap/>
            <w:tcMar>
              <w:top w:w="15" w:type="dxa"/>
              <w:left w:w="15" w:type="dxa"/>
              <w:bottom w:w="0" w:type="dxa"/>
              <w:right w:w="15" w:type="dxa"/>
            </w:tcMar>
            <w:vAlign w:val="center"/>
          </w:tcPr>
          <w:p w:rsidR="00B124BD" w:rsidRPr="00191CB3" w:rsidRDefault="00B124BD"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其他规定</w:t>
            </w:r>
          </w:p>
        </w:tc>
        <w:tc>
          <w:tcPr>
            <w:tcW w:w="6949" w:type="dxa"/>
            <w:shd w:val="clear" w:color="auto" w:fill="auto"/>
            <w:tcMar>
              <w:top w:w="15" w:type="dxa"/>
              <w:left w:w="15" w:type="dxa"/>
              <w:bottom w:w="0" w:type="dxa"/>
              <w:right w:w="15" w:type="dxa"/>
            </w:tcMar>
            <w:vAlign w:val="center"/>
          </w:tcPr>
          <w:p w:rsidR="00B124BD" w:rsidRPr="00191CB3" w:rsidRDefault="00B124BD" w:rsidP="00134859">
            <w:pPr>
              <w:spacing w:line="240" w:lineRule="exact"/>
              <w:rPr>
                <w:rFonts w:ascii="宋体" w:eastAsia="宋体" w:hAnsi="宋体"/>
                <w:snapToGrid w:val="0"/>
                <w:color w:val="000000"/>
                <w:sz w:val="21"/>
                <w:szCs w:val="21"/>
              </w:rPr>
            </w:pPr>
            <w:r w:rsidRPr="00191CB3">
              <w:rPr>
                <w:rFonts w:ascii="宋体" w:eastAsia="宋体" w:hAnsi="宋体" w:hint="eastAsia"/>
                <w:sz w:val="21"/>
                <w:szCs w:val="21"/>
              </w:rPr>
              <w:t>对于每个理财周期的产品认购期、认购划款日、产品成立日、产品到期日等日期，平安银行有权根据节假日进行调整，并以实际公布为准。</w:t>
            </w:r>
            <w:r w:rsidRPr="00191CB3">
              <w:rPr>
                <w:rFonts w:ascii="宋体" w:eastAsia="宋体" w:hAnsi="宋体" w:hint="eastAsia"/>
                <w:spacing w:val="4"/>
                <w:sz w:val="21"/>
                <w:szCs w:val="21"/>
              </w:rPr>
              <w:t>产品理财期内</w:t>
            </w:r>
            <w:r w:rsidRPr="00191CB3">
              <w:rPr>
                <w:rFonts w:ascii="宋体" w:eastAsia="宋体" w:hAnsi="宋体"/>
                <w:spacing w:val="4"/>
                <w:sz w:val="21"/>
                <w:szCs w:val="21"/>
              </w:rPr>
              <w:t>，认购划款日至</w:t>
            </w:r>
            <w:r w:rsidRPr="00191CB3">
              <w:rPr>
                <w:rFonts w:ascii="宋体" w:eastAsia="宋体" w:hAnsi="宋体" w:hint="eastAsia"/>
                <w:spacing w:val="4"/>
                <w:sz w:val="21"/>
                <w:szCs w:val="21"/>
              </w:rPr>
              <w:t>产品成立日</w:t>
            </w:r>
            <w:r w:rsidRPr="00191CB3">
              <w:rPr>
                <w:rFonts w:ascii="宋体" w:eastAsia="宋体" w:hAnsi="宋体"/>
                <w:spacing w:val="4"/>
                <w:sz w:val="21"/>
                <w:szCs w:val="21"/>
              </w:rPr>
              <w:t>为认购清算期，</w:t>
            </w:r>
            <w:r w:rsidRPr="00191CB3">
              <w:rPr>
                <w:rFonts w:ascii="宋体" w:eastAsia="宋体" w:hAnsi="宋体" w:hint="eastAsia"/>
                <w:spacing w:val="4"/>
                <w:sz w:val="21"/>
                <w:szCs w:val="21"/>
              </w:rPr>
              <w:t>产品</w:t>
            </w:r>
            <w:r w:rsidRPr="00191CB3">
              <w:rPr>
                <w:rFonts w:ascii="宋体" w:eastAsia="宋体" w:hAnsi="宋体"/>
                <w:spacing w:val="4"/>
                <w:sz w:val="21"/>
                <w:szCs w:val="21"/>
              </w:rPr>
              <w:t>到期日至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到账日为还本清算期，提前终止日至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到账日为提前终止清算期（若银行提前终止理财）</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终止清算期（若银行</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终止理财）。上述清算期内均不计付</w:t>
            </w:r>
            <w:r w:rsidRPr="00191CB3">
              <w:rPr>
                <w:rFonts w:ascii="宋体" w:eastAsia="宋体" w:hAnsi="宋体" w:hint="eastAsia"/>
                <w:spacing w:val="4"/>
                <w:sz w:val="21"/>
                <w:szCs w:val="21"/>
              </w:rPr>
              <w:t>收益</w:t>
            </w:r>
            <w:r w:rsidRPr="00191CB3">
              <w:rPr>
                <w:rFonts w:ascii="宋体" w:eastAsia="宋体" w:hAnsi="宋体"/>
                <w:spacing w:val="4"/>
                <w:sz w:val="21"/>
                <w:szCs w:val="21"/>
              </w:rPr>
              <w:t>。</w:t>
            </w:r>
          </w:p>
        </w:tc>
      </w:tr>
    </w:tbl>
    <w:p w:rsidR="00B124BD" w:rsidRPr="00191CB3" w:rsidRDefault="00B124BD" w:rsidP="003D658A">
      <w:pPr>
        <w:ind w:leftChars="-94" w:left="-282"/>
        <w:rPr>
          <w:rFonts w:ascii="宋体" w:eastAsia="宋体" w:hAnsi="宋体"/>
          <w:b/>
          <w:sz w:val="24"/>
          <w:szCs w:val="24"/>
        </w:rPr>
      </w:pPr>
      <w:r w:rsidRPr="00191CB3">
        <w:rPr>
          <w:rFonts w:ascii="宋体" w:eastAsia="宋体" w:hAnsi="宋体" w:hint="eastAsia"/>
          <w:b/>
          <w:sz w:val="24"/>
          <w:szCs w:val="24"/>
        </w:rPr>
        <w:t>二、投资对象</w:t>
      </w:r>
    </w:p>
    <w:p w:rsidR="00B124BD" w:rsidRPr="00191CB3" w:rsidRDefault="00B124BD"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募集资金投资于银行间市场信用等级较高、流动性较好的债券或货币市场工具，包括但不限于：债券回购、拆借、存放同业、央行票据、国债、金融债、以及高信用级别的企业债券（企业债、公司债、短期融资券、中期票据等）等资产。</w:t>
      </w:r>
    </w:p>
    <w:tbl>
      <w:tblPr>
        <w:tblW w:w="9073" w:type="dxa"/>
        <w:tblInd w:w="-176" w:type="dxa"/>
        <w:tblCellMar>
          <w:left w:w="0" w:type="dxa"/>
          <w:right w:w="0" w:type="dxa"/>
        </w:tblCellMar>
        <w:tblLook w:val="04A0"/>
      </w:tblPr>
      <w:tblGrid>
        <w:gridCol w:w="4577"/>
        <w:gridCol w:w="4496"/>
      </w:tblGrid>
      <w:tr w:rsidR="00B124BD" w:rsidRPr="00191CB3" w:rsidTr="00134859">
        <w:trPr>
          <w:trHeight w:val="223"/>
        </w:trPr>
        <w:tc>
          <w:tcPr>
            <w:tcW w:w="45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B124BD" w:rsidRPr="00191CB3" w:rsidRDefault="00B124BD"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投资种类</w:t>
            </w:r>
          </w:p>
        </w:tc>
        <w:tc>
          <w:tcPr>
            <w:tcW w:w="44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B124BD" w:rsidRPr="00191CB3" w:rsidRDefault="00B124BD"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投资比例</w:t>
            </w:r>
          </w:p>
        </w:tc>
      </w:tr>
      <w:tr w:rsidR="00B124BD" w:rsidRPr="00191CB3" w:rsidTr="00134859">
        <w:trPr>
          <w:trHeight w:val="241"/>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B124BD" w:rsidRPr="00191CB3" w:rsidRDefault="00B124BD"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现金</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124BD" w:rsidRPr="00191CB3" w:rsidRDefault="00B124BD"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0-20%</w:t>
            </w:r>
          </w:p>
        </w:tc>
      </w:tr>
      <w:tr w:rsidR="00B124BD" w:rsidRPr="00191CB3" w:rsidTr="00134859">
        <w:trPr>
          <w:trHeight w:val="272"/>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B124BD" w:rsidRPr="00191CB3" w:rsidRDefault="00B124BD"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货币市场工具</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124BD" w:rsidRPr="00191CB3" w:rsidRDefault="00B124BD" w:rsidP="00134859">
            <w:pPr>
              <w:snapToGrid w:val="0"/>
              <w:spacing w:line="240" w:lineRule="exact"/>
              <w:jc w:val="center"/>
              <w:textAlignment w:val="center"/>
              <w:rPr>
                <w:rFonts w:ascii="宋体" w:eastAsia="宋体" w:hAnsi="宋体"/>
                <w:snapToGrid w:val="0"/>
                <w:color w:val="000000"/>
                <w:sz w:val="21"/>
                <w:szCs w:val="21"/>
              </w:rPr>
            </w:pPr>
            <w:r>
              <w:rPr>
                <w:rFonts w:ascii="宋体" w:eastAsia="宋体" w:hAnsi="宋体" w:hint="eastAsia"/>
                <w:snapToGrid w:val="0"/>
                <w:color w:val="000000"/>
                <w:sz w:val="21"/>
                <w:szCs w:val="21"/>
              </w:rPr>
              <w:t>1</w:t>
            </w:r>
            <w:r w:rsidRPr="00191CB3">
              <w:rPr>
                <w:rFonts w:ascii="宋体" w:eastAsia="宋体" w:hAnsi="宋体" w:hint="eastAsia"/>
                <w:snapToGrid w:val="0"/>
                <w:color w:val="000000"/>
                <w:sz w:val="21"/>
                <w:szCs w:val="21"/>
              </w:rPr>
              <w:t>0-100%</w:t>
            </w:r>
          </w:p>
        </w:tc>
      </w:tr>
      <w:tr w:rsidR="00B124BD" w:rsidRPr="00191CB3" w:rsidTr="00134859">
        <w:trPr>
          <w:trHeight w:val="263"/>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B124BD" w:rsidRPr="00191CB3" w:rsidRDefault="00B124BD"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债券资产</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124BD" w:rsidRPr="00191CB3" w:rsidRDefault="00B124BD" w:rsidP="00134859">
            <w:pPr>
              <w:snapToGrid w:val="0"/>
              <w:spacing w:line="240" w:lineRule="exact"/>
              <w:jc w:val="center"/>
              <w:textAlignment w:val="center"/>
              <w:rPr>
                <w:rFonts w:ascii="宋体" w:eastAsia="宋体" w:hAnsi="宋体"/>
                <w:snapToGrid w:val="0"/>
                <w:color w:val="000000"/>
                <w:sz w:val="21"/>
                <w:szCs w:val="21"/>
              </w:rPr>
            </w:pPr>
            <w:r>
              <w:rPr>
                <w:rFonts w:ascii="宋体" w:eastAsia="宋体" w:hAnsi="宋体" w:hint="eastAsia"/>
                <w:snapToGrid w:val="0"/>
                <w:color w:val="000000"/>
                <w:sz w:val="21"/>
                <w:szCs w:val="21"/>
              </w:rPr>
              <w:t>0-9</w:t>
            </w:r>
            <w:r w:rsidRPr="00191CB3">
              <w:rPr>
                <w:rFonts w:ascii="宋体" w:eastAsia="宋体" w:hAnsi="宋体" w:hint="eastAsia"/>
                <w:snapToGrid w:val="0"/>
                <w:color w:val="000000"/>
                <w:sz w:val="21"/>
                <w:szCs w:val="21"/>
              </w:rPr>
              <w:t>0%</w:t>
            </w:r>
          </w:p>
        </w:tc>
      </w:tr>
    </w:tbl>
    <w:p w:rsidR="00B124BD" w:rsidRPr="00191CB3" w:rsidRDefault="00B124BD"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p w:rsidR="00B124BD" w:rsidRPr="00191CB3" w:rsidRDefault="00B124BD" w:rsidP="003D658A">
      <w:pPr>
        <w:ind w:leftChars="-94" w:left="-282"/>
        <w:rPr>
          <w:rFonts w:ascii="宋体" w:eastAsia="宋体" w:hAnsi="宋体"/>
          <w:b/>
          <w:sz w:val="24"/>
          <w:szCs w:val="24"/>
        </w:rPr>
      </w:pPr>
      <w:r>
        <w:rPr>
          <w:rFonts w:ascii="宋体" w:eastAsia="宋体" w:hAnsi="宋体" w:hint="eastAsia"/>
          <w:b/>
          <w:sz w:val="24"/>
          <w:szCs w:val="24"/>
        </w:rPr>
        <w:t>三</w:t>
      </w:r>
      <w:r w:rsidRPr="00191CB3">
        <w:rPr>
          <w:rFonts w:ascii="宋体" w:eastAsia="宋体" w:hAnsi="宋体" w:hint="eastAsia"/>
          <w:b/>
          <w:sz w:val="24"/>
          <w:szCs w:val="24"/>
        </w:rPr>
        <w:t>、理财产品费用、收益分析与计算</w:t>
      </w:r>
    </w:p>
    <w:p w:rsidR="00B124BD" w:rsidRPr="00191CB3" w:rsidRDefault="00B124BD" w:rsidP="003D658A">
      <w:pPr>
        <w:adjustRightInd w:val="0"/>
        <w:snapToGrid w:val="0"/>
        <w:ind w:rightChars="-161" w:right="-483" w:firstLineChars="49" w:firstLine="103"/>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1 、理财资金所承担的相关费用及收益</w:t>
      </w:r>
    </w:p>
    <w:p w:rsidR="00B124BD" w:rsidRPr="00191CB3" w:rsidRDefault="00B124BD"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销售手续费：销售手续费由平安银行收取，本期为0.45%。计算公式为：销售手续费=理财资金总额×销售手续费率×理财天数÷365。销售手续费在产品终止后2个工作日内分配。</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资金保管费：销售手续费由平安银行收取，本期为0-0.20%。计算公式为：资金保管费=理财资金总额×资金保管费率×理财天数÷365。</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资产管理费：资产管理费由平安银行收取，本期为0-0.80%。计算公式为：资产管理费=理财资金总额×资产管理费率×理财天数÷365。</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资产投资收益需优先扣除相关法律规定的税费以及上述费用后，再分配本金和收益。分配完客户本金和收益后的剩余部分为平安银行所有。</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对理财本金所产生的理财收益，平安银行暂不代扣代缴税。但若依照国家法律要求或税务机关的行政命令要求缴纳收益所得税，平安银行有义务代扣代缴投资者、受益人承担的税费，平安银行所代缴税费将从理财计划资产中扣除。</w:t>
      </w:r>
    </w:p>
    <w:p w:rsidR="00B124BD" w:rsidRPr="00191CB3" w:rsidRDefault="00B124BD" w:rsidP="003D658A">
      <w:pPr>
        <w:adjustRightInd w:val="0"/>
        <w:snapToGrid w:val="0"/>
        <w:ind w:firstLineChars="49" w:firstLine="103"/>
        <w:jc w:val="left"/>
        <w:textAlignment w:val="center"/>
        <w:rPr>
          <w:rFonts w:ascii="宋体" w:eastAsia="宋体" w:hAnsi="宋体"/>
          <w:sz w:val="21"/>
          <w:szCs w:val="21"/>
        </w:rPr>
      </w:pPr>
      <w:r w:rsidRPr="00191CB3">
        <w:rPr>
          <w:rFonts w:ascii="宋体" w:eastAsia="宋体" w:hAnsi="宋体" w:hint="eastAsia"/>
          <w:b/>
          <w:snapToGrid w:val="0"/>
          <w:color w:val="000000"/>
          <w:sz w:val="21"/>
          <w:szCs w:val="21"/>
        </w:rPr>
        <w:t>2、客户预期最高年化收益率：</w:t>
      </w:r>
      <w:r w:rsidRPr="00751F58">
        <w:rPr>
          <w:rFonts w:ascii="宋体" w:eastAsia="宋体" w:hAnsi="宋体"/>
          <w:noProof/>
          <w:sz w:val="21"/>
          <w:szCs w:val="21"/>
          <w:highlight w:val="yellow"/>
        </w:rPr>
        <w:t>2.85%</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客户预期最高年化收益率根据当前可投资资产的预期加权投资收益率扣除银行销售手续费率、资产管理费率后测算而得。</w:t>
      </w:r>
    </w:p>
    <w:p w:rsidR="00B124BD" w:rsidRPr="00191CB3" w:rsidRDefault="00B124BD" w:rsidP="003D658A">
      <w:pPr>
        <w:adjustRightInd w:val="0"/>
        <w:snapToGrid w:val="0"/>
        <w:ind w:firstLineChars="49" w:firstLine="103"/>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 xml:space="preserve">3、实际收益计算公式 </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实际理财收益额按下式计算：</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理财收益额</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理财金额</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当期实际年化收益率</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实际理财天数/</w:t>
      </w:r>
      <w:r w:rsidRPr="00191CB3">
        <w:rPr>
          <w:rFonts w:ascii="宋体" w:eastAsia="宋体" w:hAnsi="宋体" w:hint="eastAsia"/>
          <w:snapToGrid w:val="0"/>
          <w:color w:val="000000"/>
          <w:sz w:val="21"/>
          <w:szCs w:val="21"/>
        </w:rPr>
        <w:t>365</w:t>
      </w:r>
    </w:p>
    <w:p w:rsidR="00B124BD" w:rsidRPr="00191CB3" w:rsidRDefault="00B124BD" w:rsidP="003D658A">
      <w:pPr>
        <w:adjustRightInd w:val="0"/>
        <w:snapToGrid w:val="0"/>
        <w:ind w:firstLineChars="49" w:firstLine="103"/>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4、理财收益率测算方法</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本产品主要</w:t>
      </w:r>
      <w:r w:rsidRPr="00191CB3">
        <w:rPr>
          <w:rFonts w:ascii="宋体" w:eastAsia="宋体" w:hAnsi="宋体"/>
          <w:snapToGrid w:val="0"/>
          <w:color w:val="000000"/>
          <w:sz w:val="21"/>
          <w:szCs w:val="21"/>
        </w:rPr>
        <w:t>投资于银行间市场信用等级较高</w:t>
      </w:r>
      <w:r w:rsidRPr="00191CB3">
        <w:rPr>
          <w:rFonts w:ascii="宋体" w:eastAsia="宋体" w:hAnsi="宋体" w:hint="eastAsia"/>
          <w:snapToGrid w:val="0"/>
          <w:color w:val="000000"/>
          <w:sz w:val="21"/>
          <w:szCs w:val="21"/>
        </w:rPr>
        <w:t>、流动性较好</w:t>
      </w:r>
      <w:r w:rsidRPr="00191CB3">
        <w:rPr>
          <w:rFonts w:ascii="宋体" w:eastAsia="宋体" w:hAnsi="宋体"/>
          <w:snapToGrid w:val="0"/>
          <w:color w:val="000000"/>
          <w:sz w:val="21"/>
          <w:szCs w:val="21"/>
        </w:rPr>
        <w:t>的债券或货币市场工具，</w:t>
      </w:r>
      <w:r w:rsidRPr="00191CB3">
        <w:rPr>
          <w:rFonts w:ascii="宋体" w:eastAsia="宋体" w:hAnsi="宋体" w:hint="eastAsia"/>
          <w:snapToGrid w:val="0"/>
          <w:color w:val="000000"/>
          <w:sz w:val="21"/>
          <w:szCs w:val="21"/>
        </w:rPr>
        <w:t>包括但不限于：债券回购、拆借、存放同业、央行票据、国债、金融债、以及高信用级别的企业债券（企业债、公司债、短期融资券、中期票据等）等资产。根据组合资产的收益，扣除产品的成本，本期理财产品预期最高年化收益率为</w:t>
      </w:r>
      <w:r w:rsidRPr="00751F58">
        <w:rPr>
          <w:rFonts w:ascii="宋体" w:eastAsia="宋体" w:hAnsi="宋体"/>
          <w:noProof/>
          <w:snapToGrid w:val="0"/>
          <w:color w:val="000000"/>
          <w:sz w:val="21"/>
          <w:szCs w:val="21"/>
          <w:highlight w:val="yellow"/>
        </w:rPr>
        <w:t>2.85%</w:t>
      </w:r>
      <w:r w:rsidRPr="00191CB3">
        <w:rPr>
          <w:rFonts w:ascii="宋体" w:eastAsia="宋体" w:hAnsi="宋体" w:hint="eastAsia"/>
          <w:snapToGrid w:val="0"/>
          <w:color w:val="000000"/>
          <w:sz w:val="21"/>
          <w:szCs w:val="21"/>
        </w:rPr>
        <w:t>。</w:t>
      </w:r>
    </w:p>
    <w:p w:rsidR="00B124BD" w:rsidRPr="00191CB3" w:rsidRDefault="00B124BD" w:rsidP="003D658A">
      <w:pPr>
        <w:adjustRightInd w:val="0"/>
        <w:snapToGrid w:val="0"/>
        <w:ind w:firstLineChars="200" w:firstLine="422"/>
        <w:jc w:val="left"/>
        <w:textAlignment w:val="center"/>
        <w:rPr>
          <w:rFonts w:ascii="宋体" w:eastAsia="宋体" w:hAnsi="宋体"/>
          <w:b/>
          <w:snapToGrid w:val="0"/>
          <w:sz w:val="21"/>
          <w:szCs w:val="21"/>
        </w:rPr>
      </w:pPr>
      <w:r w:rsidRPr="00191CB3">
        <w:rPr>
          <w:rFonts w:ascii="宋体" w:eastAsia="宋体" w:hAnsi="宋体" w:hint="eastAsia"/>
          <w:b/>
          <w:snapToGrid w:val="0"/>
          <w:sz w:val="21"/>
          <w:szCs w:val="21"/>
        </w:rPr>
        <w:t>测算收益不等于实际收益，投资须谨慎。</w:t>
      </w:r>
    </w:p>
    <w:p w:rsidR="00B124BD" w:rsidRPr="00191CB3" w:rsidRDefault="00B124BD" w:rsidP="003D658A">
      <w:pPr>
        <w:adjustRightInd w:val="0"/>
        <w:snapToGrid w:val="0"/>
        <w:ind w:firstLineChars="200" w:firstLine="422"/>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lastRenderedPageBreak/>
        <w:t>5、情景分析</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本理财计划成立，投资者持有至到期。</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若本理财计划成立，假定理财本金为人民币1,000,000元，实际理财天数为</w:t>
      </w:r>
      <w:r w:rsidRPr="00751F58">
        <w:rPr>
          <w:rFonts w:ascii="宋体" w:eastAsia="宋体" w:hAnsi="宋体"/>
          <w:noProof/>
          <w:snapToGrid w:val="0"/>
          <w:color w:val="000000"/>
          <w:sz w:val="21"/>
          <w:szCs w:val="21"/>
          <w:highlight w:val="yellow"/>
        </w:rPr>
        <w:t>3</w:t>
      </w:r>
      <w:r w:rsidRPr="00751F58">
        <w:rPr>
          <w:rFonts w:ascii="宋体" w:eastAsia="宋体" w:hAnsi="宋体" w:hint="eastAsia"/>
          <w:snapToGrid w:val="0"/>
          <w:color w:val="000000"/>
          <w:sz w:val="21"/>
          <w:szCs w:val="21"/>
          <w:highlight w:val="yellow"/>
        </w:rPr>
        <w:t>天</w:t>
      </w:r>
      <w:r w:rsidRPr="00191CB3">
        <w:rPr>
          <w:rFonts w:ascii="宋体" w:eastAsia="宋体" w:hAnsi="宋体" w:hint="eastAsia"/>
          <w:snapToGrid w:val="0"/>
          <w:color w:val="000000"/>
          <w:sz w:val="21"/>
          <w:szCs w:val="21"/>
        </w:rPr>
        <w:t>，客户预期最高年化收益率为</w:t>
      </w:r>
      <w:r w:rsidRPr="00751F58">
        <w:rPr>
          <w:rFonts w:ascii="宋体" w:eastAsia="宋体" w:hAnsi="宋体"/>
          <w:noProof/>
          <w:snapToGrid w:val="0"/>
          <w:color w:val="000000"/>
          <w:sz w:val="21"/>
          <w:szCs w:val="21"/>
          <w:highlight w:val="yellow"/>
        </w:rPr>
        <w:t>2.85%</w:t>
      </w:r>
      <w:r w:rsidRPr="00191CB3">
        <w:rPr>
          <w:rFonts w:ascii="宋体" w:eastAsia="宋体" w:hAnsi="宋体" w:hint="eastAsia"/>
          <w:snapToGrid w:val="0"/>
          <w:color w:val="000000"/>
          <w:sz w:val="21"/>
          <w:szCs w:val="21"/>
        </w:rPr>
        <w:t>，产品结束时，</w:t>
      </w:r>
      <w:r w:rsidRPr="00191CB3">
        <w:rPr>
          <w:rFonts w:ascii="宋体" w:eastAsia="宋体" w:hAnsi="宋体"/>
          <w:snapToGrid w:val="0"/>
          <w:color w:val="000000"/>
          <w:sz w:val="21"/>
          <w:szCs w:val="21"/>
        </w:rPr>
        <w:t>当期实际年化收益率</w:t>
      </w:r>
      <w:r w:rsidRPr="00191CB3">
        <w:rPr>
          <w:rFonts w:ascii="宋体" w:eastAsia="宋体" w:hAnsi="宋体" w:hint="eastAsia"/>
          <w:snapToGrid w:val="0"/>
          <w:color w:val="000000"/>
          <w:sz w:val="21"/>
          <w:szCs w:val="21"/>
        </w:rPr>
        <w:t>等于客户预期最高年化收益率，则投资者持有到期理财收益为：1,000,000</w:t>
      </w:r>
      <w:r w:rsidRPr="00191CB3">
        <w:rPr>
          <w:rFonts w:ascii="宋体" w:eastAsia="宋体" w:hAnsi="宋体"/>
          <w:snapToGrid w:val="0"/>
          <w:color w:val="000000"/>
          <w:sz w:val="21"/>
          <w:szCs w:val="21"/>
        </w:rPr>
        <w:t>×</w:t>
      </w:r>
      <w:r w:rsidRPr="00154065">
        <w:rPr>
          <w:rFonts w:ascii="宋体" w:eastAsia="宋体" w:hAnsi="宋体"/>
          <w:noProof/>
          <w:snapToGrid w:val="0"/>
          <w:color w:val="000000"/>
          <w:sz w:val="21"/>
          <w:szCs w:val="21"/>
        </w:rPr>
        <w:t>2.85%</w:t>
      </w:r>
      <w:r w:rsidRPr="00191CB3">
        <w:rPr>
          <w:rFonts w:ascii="宋体" w:eastAsia="宋体" w:hAnsi="宋体"/>
          <w:snapToGrid w:val="0"/>
          <w:color w:val="000000"/>
          <w:sz w:val="21"/>
          <w:szCs w:val="21"/>
        </w:rPr>
        <w:t>×</w:t>
      </w:r>
      <w:r w:rsidRPr="00154065">
        <w:rPr>
          <w:rFonts w:ascii="宋体" w:eastAsia="宋体" w:hAnsi="宋体"/>
          <w:noProof/>
          <w:snapToGrid w:val="0"/>
          <w:color w:val="000000"/>
          <w:sz w:val="21"/>
          <w:szCs w:val="21"/>
        </w:rPr>
        <w:t>3</w:t>
      </w:r>
      <w:r w:rsidRPr="00191CB3">
        <w:rPr>
          <w:rFonts w:ascii="宋体" w:eastAsia="宋体" w:hAnsi="宋体" w:hint="eastAsia"/>
          <w:snapToGrid w:val="0"/>
          <w:color w:val="000000"/>
          <w:sz w:val="21"/>
          <w:szCs w:val="21"/>
        </w:rPr>
        <w:t>/365 =</w:t>
      </w:r>
      <w:r w:rsidRPr="00154065">
        <w:rPr>
          <w:rFonts w:ascii="宋体" w:eastAsia="宋体" w:hAnsi="宋体"/>
          <w:noProof/>
          <w:snapToGrid w:val="0"/>
          <w:color w:val="000000"/>
          <w:sz w:val="21"/>
          <w:szCs w:val="21"/>
        </w:rPr>
        <w:t>234.25</w:t>
      </w:r>
      <w:r w:rsidRPr="00191CB3">
        <w:rPr>
          <w:rFonts w:ascii="宋体" w:eastAsia="宋体" w:hAnsi="宋体" w:hint="eastAsia"/>
          <w:snapToGrid w:val="0"/>
          <w:color w:val="000000"/>
          <w:sz w:val="21"/>
          <w:szCs w:val="21"/>
        </w:rPr>
        <w:t>元。</w:t>
      </w:r>
    </w:p>
    <w:p w:rsidR="00B124BD" w:rsidRPr="00191CB3" w:rsidRDefault="00B124BD" w:rsidP="003D658A">
      <w:pPr>
        <w:adjustRightInd w:val="0"/>
        <w:snapToGrid w:val="0"/>
        <w:ind w:firstLineChars="200" w:firstLine="422"/>
        <w:textAlignment w:val="center"/>
        <w:rPr>
          <w:rFonts w:ascii="宋体" w:eastAsia="宋体" w:hAnsi="宋体" w:cs="Arial"/>
          <w:b/>
          <w:snapToGrid w:val="0"/>
          <w:sz w:val="21"/>
          <w:szCs w:val="21"/>
        </w:rPr>
      </w:pPr>
      <w:r w:rsidRPr="00191CB3">
        <w:rPr>
          <w:rFonts w:ascii="宋体" w:eastAsia="宋体" w:hAnsi="宋体" w:cs="Arial" w:hint="eastAsia"/>
          <w:b/>
          <w:snapToGrid w:val="0"/>
          <w:sz w:val="21"/>
          <w:szCs w:val="21"/>
        </w:rPr>
        <w:t>最不利的投资情形：投资者无法收回投资收益。</w:t>
      </w:r>
    </w:p>
    <w:p w:rsidR="00B124BD" w:rsidRPr="00191CB3" w:rsidRDefault="00B124BD" w:rsidP="003D658A">
      <w:pPr>
        <w:adjustRightInd w:val="0"/>
        <w:snapToGrid w:val="0"/>
        <w:ind w:firstLineChars="200" w:firstLine="422"/>
        <w:textAlignment w:val="center"/>
        <w:rPr>
          <w:rFonts w:ascii="宋体" w:eastAsia="宋体" w:hAnsi="宋体"/>
          <w:b/>
          <w:snapToGrid w:val="0"/>
          <w:color w:val="000000"/>
          <w:sz w:val="21"/>
          <w:szCs w:val="21"/>
        </w:rPr>
      </w:pPr>
      <w:r w:rsidRPr="00191CB3">
        <w:rPr>
          <w:rFonts w:ascii="宋体" w:eastAsia="宋体" w:hAnsi="宋体" w:cs="Arial" w:hint="eastAsia"/>
          <w:b/>
          <w:snapToGrid w:val="0"/>
          <w:sz w:val="21"/>
          <w:szCs w:val="21"/>
        </w:rPr>
        <w:t>6</w:t>
      </w:r>
      <w:r w:rsidRPr="00191CB3">
        <w:rPr>
          <w:rFonts w:ascii="宋体" w:eastAsia="宋体" w:hAnsi="宋体" w:hint="eastAsia"/>
          <w:b/>
          <w:snapToGrid w:val="0"/>
          <w:color w:val="000000"/>
          <w:sz w:val="21"/>
          <w:szCs w:val="21"/>
        </w:rPr>
        <w:t>、理财资金</w:t>
      </w:r>
      <w:r w:rsidRPr="00191CB3">
        <w:rPr>
          <w:rFonts w:ascii="宋体" w:eastAsia="宋体" w:hAnsi="宋体"/>
          <w:b/>
          <w:snapToGrid w:val="0"/>
          <w:color w:val="000000"/>
          <w:sz w:val="21"/>
          <w:szCs w:val="21"/>
        </w:rPr>
        <w:t>支付</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（1）本理财产品宣告成立之日起，平安银行将对理财资金按照合约约定进行管理和运作，理财资金不另计存款利息。在理财产品成立之前交存于银行的理财本金，从客户认购日起到本理财产品</w:t>
      </w:r>
      <w:r w:rsidRPr="00191CB3">
        <w:rPr>
          <w:rFonts w:ascii="宋体" w:eastAsia="宋体" w:hAnsi="宋体"/>
          <w:snapToGrid w:val="0"/>
          <w:color w:val="000000"/>
          <w:sz w:val="21"/>
          <w:szCs w:val="21"/>
        </w:rPr>
        <w:t>认购划款日</w:t>
      </w:r>
      <w:r w:rsidRPr="00191CB3">
        <w:rPr>
          <w:rFonts w:ascii="宋体" w:eastAsia="宋体" w:hAnsi="宋体" w:hint="eastAsia"/>
          <w:snapToGrid w:val="0"/>
          <w:color w:val="000000"/>
          <w:sz w:val="21"/>
          <w:szCs w:val="21"/>
        </w:rPr>
        <w:t>（不含）为止按照活期存款利率计付利息。理财合约终止后由银行进行最终清算，并按约定支付应付款项。</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本金支付：银行到期终止理财或提前终止理财，则平安银行对投资者归还100%本金，并在到期日、银行到期终止日或提前终止日后</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个工作日（T+</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）内将本金划转到投资者指定账户，逢节假日顺延。</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w:t>
      </w:r>
      <w:r w:rsidRPr="00191CB3">
        <w:rPr>
          <w:rFonts w:ascii="宋体" w:eastAsia="宋体" w:hAnsi="宋体"/>
          <w:snapToGrid w:val="0"/>
          <w:color w:val="000000"/>
          <w:sz w:val="21"/>
          <w:szCs w:val="21"/>
        </w:rPr>
        <w:t>收益支付：银行到期终止理财或提前终止理财，平安银行计算到期收益，并在到期日、银行到期终止日或提前终止日后</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个工作日（T+</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）内将收益划转到投资者指定账户，逢节假日顺延。</w:t>
      </w:r>
    </w:p>
    <w:p w:rsidR="00B124BD" w:rsidRPr="00191CB3" w:rsidRDefault="00B124BD" w:rsidP="003D658A">
      <w:pPr>
        <w:adjustRightInd w:val="0"/>
        <w:snapToGrid w:val="0"/>
        <w:ind w:firstLineChars="200" w:firstLine="422"/>
        <w:jc w:val="left"/>
        <w:textAlignment w:val="center"/>
        <w:rPr>
          <w:rFonts w:ascii="宋体" w:eastAsia="宋体" w:hAnsi="宋体" w:cs="Arial"/>
          <w:b/>
          <w:snapToGrid w:val="0"/>
          <w:sz w:val="21"/>
          <w:szCs w:val="21"/>
        </w:rPr>
      </w:pPr>
      <w:r w:rsidRPr="00191CB3">
        <w:rPr>
          <w:rFonts w:ascii="宋体" w:eastAsia="宋体" w:hAnsi="宋体" w:cs="Arial" w:hint="eastAsia"/>
          <w:b/>
          <w:snapToGrid w:val="0"/>
          <w:sz w:val="21"/>
          <w:szCs w:val="21"/>
        </w:rPr>
        <w:t>7、特别说明</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（1）每个理财期间不开放赎回，理财产品在每个理财期到期日或实际终止日时一次兑付。</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（2）提前/延期终止权利。在理财产品到期前，投资者无提前/延期终止权，如遇</w:t>
      </w:r>
      <w:r w:rsidRPr="00191CB3">
        <w:rPr>
          <w:rFonts w:ascii="宋体" w:eastAsia="宋体" w:hAnsi="宋体"/>
          <w:snapToGrid w:val="0"/>
          <w:color w:val="000000"/>
          <w:sz w:val="21"/>
          <w:szCs w:val="21"/>
        </w:rPr>
        <w:t>国家金融政策出现重大调整</w:t>
      </w:r>
      <w:r w:rsidRPr="00191CB3">
        <w:rPr>
          <w:rFonts w:ascii="宋体" w:eastAsia="宋体" w:hAnsi="宋体" w:hint="eastAsia"/>
          <w:snapToGrid w:val="0"/>
          <w:color w:val="000000"/>
          <w:sz w:val="21"/>
          <w:szCs w:val="21"/>
        </w:rPr>
        <w:t>、市场发生重大变化等情形</w:t>
      </w:r>
      <w:r w:rsidRPr="00191CB3">
        <w:rPr>
          <w:rFonts w:ascii="宋体" w:eastAsia="宋体" w:hAnsi="宋体"/>
          <w:snapToGrid w:val="0"/>
          <w:color w:val="000000"/>
          <w:sz w:val="21"/>
          <w:szCs w:val="21"/>
        </w:rPr>
        <w:t>并影响本产品的正常运作</w:t>
      </w:r>
      <w:r w:rsidRPr="00191CB3">
        <w:rPr>
          <w:rFonts w:ascii="宋体" w:eastAsia="宋体" w:hAnsi="宋体" w:hint="eastAsia"/>
          <w:snapToGrid w:val="0"/>
          <w:color w:val="000000"/>
          <w:sz w:val="21"/>
          <w:szCs w:val="21"/>
        </w:rPr>
        <w:t>，以及</w:t>
      </w:r>
      <w:r w:rsidRPr="00191CB3">
        <w:rPr>
          <w:rFonts w:ascii="宋体" w:eastAsia="宋体" w:hAnsi="宋体"/>
          <w:snapToGrid w:val="0"/>
          <w:color w:val="000000"/>
          <w:sz w:val="21"/>
          <w:szCs w:val="21"/>
        </w:rPr>
        <w:t>其他</w:t>
      </w:r>
      <w:r w:rsidRPr="00191CB3">
        <w:rPr>
          <w:rFonts w:ascii="宋体" w:eastAsia="宋体" w:hAnsi="宋体" w:hint="eastAsia"/>
          <w:snapToGrid w:val="0"/>
          <w:color w:val="000000"/>
          <w:sz w:val="21"/>
          <w:szCs w:val="21"/>
        </w:rPr>
        <w:t>平安银行股份有限公司</w:t>
      </w:r>
      <w:r w:rsidRPr="00191CB3">
        <w:rPr>
          <w:rFonts w:ascii="宋体" w:eastAsia="宋体" w:hAnsi="宋体"/>
          <w:snapToGrid w:val="0"/>
          <w:color w:val="000000"/>
          <w:sz w:val="21"/>
          <w:szCs w:val="21"/>
        </w:rPr>
        <w:t>认为需要提前</w:t>
      </w:r>
      <w:r w:rsidRPr="00191CB3">
        <w:rPr>
          <w:rFonts w:ascii="宋体" w:eastAsia="宋体" w:hAnsi="宋体" w:hint="eastAsia"/>
          <w:snapToGrid w:val="0"/>
          <w:color w:val="000000"/>
          <w:sz w:val="21"/>
          <w:szCs w:val="21"/>
        </w:rPr>
        <w:t>/延期</w:t>
      </w:r>
      <w:r w:rsidRPr="00191CB3">
        <w:rPr>
          <w:rFonts w:ascii="宋体" w:eastAsia="宋体" w:hAnsi="宋体"/>
          <w:snapToGrid w:val="0"/>
          <w:color w:val="000000"/>
          <w:sz w:val="21"/>
          <w:szCs w:val="21"/>
        </w:rPr>
        <w:t>终止本理财产品的情况时，</w:t>
      </w:r>
      <w:r w:rsidRPr="00191CB3">
        <w:rPr>
          <w:rFonts w:ascii="宋体" w:eastAsia="宋体" w:hAnsi="宋体" w:hint="eastAsia"/>
          <w:snapToGrid w:val="0"/>
          <w:color w:val="000000"/>
          <w:sz w:val="21"/>
          <w:szCs w:val="21"/>
        </w:rPr>
        <w:t>平安银行有提前/延期终止权。如果平安银行提前/延期终止本理财产品，平安银行将提前2个工作日通知投资者，并在提前/延期终止后的2个工作日内向投资者返还理财本金和收益，理财收益按实际理财期限计算。</w:t>
      </w:r>
    </w:p>
    <w:p w:rsidR="00B124BD" w:rsidRPr="00191CB3" w:rsidDel="00F87B69"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暂停认购和赎回权利。理财产品发行或者开放期间，如果所投资的资产发生变化，导致预期募集的资金多于投资需求，或者其他平安银行认为可能影响产品发行规模的因素，平安银行有权暂停投资者认购理财产品；理财产品到期时，如果若因市场极端情况或相关的法律、政策变动，导致使资产组合无法支付客户赎回申请，平安银行有权暂停投资者的到期赎回。</w:t>
      </w:r>
    </w:p>
    <w:p w:rsidR="00B124BD" w:rsidRPr="00191CB3" w:rsidRDefault="00B124BD" w:rsidP="003D658A">
      <w:pPr>
        <w:ind w:leftChars="-94" w:left="-282"/>
        <w:rPr>
          <w:rFonts w:ascii="宋体" w:eastAsia="宋体" w:hAnsi="宋体"/>
          <w:b/>
          <w:sz w:val="24"/>
          <w:szCs w:val="24"/>
        </w:rPr>
      </w:pPr>
      <w:r>
        <w:rPr>
          <w:rFonts w:ascii="宋体" w:eastAsia="宋体" w:hAnsi="宋体" w:hint="eastAsia"/>
          <w:b/>
          <w:sz w:val="24"/>
          <w:szCs w:val="24"/>
        </w:rPr>
        <w:t>四</w:t>
      </w:r>
      <w:r w:rsidRPr="00191CB3">
        <w:rPr>
          <w:rFonts w:ascii="宋体" w:eastAsia="宋体" w:hAnsi="宋体" w:hint="eastAsia"/>
          <w:b/>
          <w:sz w:val="24"/>
          <w:szCs w:val="24"/>
        </w:rPr>
        <w:t>、风险揭示</w:t>
      </w:r>
    </w:p>
    <w:p w:rsidR="00B124BD" w:rsidRPr="00AD7577" w:rsidRDefault="00B124BD" w:rsidP="003D658A">
      <w:pPr>
        <w:adjustRightInd w:val="0"/>
        <w:snapToGrid w:val="0"/>
        <w:ind w:firstLineChars="200" w:firstLine="422"/>
        <w:textAlignment w:val="center"/>
        <w:rPr>
          <w:rFonts w:ascii="宋体" w:eastAsia="宋体" w:hAnsi="宋体"/>
          <w:b/>
          <w:snapToGrid w:val="0"/>
          <w:color w:val="000000"/>
          <w:sz w:val="21"/>
          <w:szCs w:val="21"/>
        </w:rPr>
      </w:pPr>
      <w:r w:rsidRPr="00191CB3">
        <w:rPr>
          <w:rFonts w:ascii="宋体" w:eastAsia="宋体" w:hAnsi="宋体"/>
          <w:b/>
          <w:snapToGrid w:val="0"/>
          <w:color w:val="000000"/>
          <w:sz w:val="21"/>
          <w:szCs w:val="21"/>
        </w:rPr>
        <w:t>本理财产品有投资风险，</w:t>
      </w:r>
      <w:r w:rsidRPr="00191CB3">
        <w:rPr>
          <w:rFonts w:ascii="宋体" w:eastAsia="宋体" w:hAnsi="宋体" w:hint="eastAsia"/>
          <w:b/>
          <w:snapToGrid w:val="0"/>
          <w:color w:val="000000"/>
          <w:sz w:val="21"/>
          <w:szCs w:val="21"/>
        </w:rPr>
        <w:t>只保障理财资金本金，不保证理财收益</w:t>
      </w:r>
      <w:r>
        <w:rPr>
          <w:rFonts w:ascii="宋体" w:eastAsia="宋体" w:hAnsi="宋体"/>
          <w:b/>
          <w:snapToGrid w:val="0"/>
          <w:color w:val="000000"/>
          <w:sz w:val="21"/>
          <w:szCs w:val="21"/>
        </w:rPr>
        <w:t>，投资者应该充分</w:t>
      </w:r>
      <w:r>
        <w:rPr>
          <w:rFonts w:ascii="宋体" w:eastAsia="宋体" w:hAnsi="宋体" w:hint="eastAsia"/>
          <w:b/>
          <w:snapToGrid w:val="0"/>
          <w:color w:val="000000"/>
          <w:sz w:val="21"/>
          <w:szCs w:val="21"/>
        </w:rPr>
        <w:t>认</w:t>
      </w:r>
      <w:r w:rsidRPr="00191CB3">
        <w:rPr>
          <w:rFonts w:ascii="宋体" w:eastAsia="宋体" w:hAnsi="宋体"/>
          <w:b/>
          <w:snapToGrid w:val="0"/>
          <w:color w:val="000000"/>
          <w:sz w:val="21"/>
          <w:szCs w:val="21"/>
        </w:rPr>
        <w:t>识投资风险，谨慎投资。</w:t>
      </w:r>
      <w:r w:rsidRPr="00191CB3">
        <w:rPr>
          <w:rFonts w:ascii="宋体" w:eastAsia="宋体" w:hAnsi="宋体" w:hint="eastAsia"/>
          <w:b/>
          <w:snapToGrid w:val="0"/>
          <w:color w:val="000000"/>
          <w:sz w:val="21"/>
          <w:szCs w:val="21"/>
        </w:rPr>
        <w:t>本产品</w:t>
      </w:r>
      <w:r w:rsidRPr="00191CB3">
        <w:rPr>
          <w:rFonts w:ascii="宋体" w:eastAsia="宋体" w:hAnsi="宋体"/>
          <w:b/>
          <w:snapToGrid w:val="0"/>
          <w:color w:val="000000"/>
          <w:sz w:val="21"/>
          <w:szCs w:val="21"/>
        </w:rPr>
        <w:t>风险揭示内容</w:t>
      </w:r>
      <w:r w:rsidRPr="00191CB3">
        <w:rPr>
          <w:rFonts w:ascii="宋体" w:eastAsia="宋体" w:hAnsi="宋体" w:hint="eastAsia"/>
          <w:b/>
          <w:snapToGrid w:val="0"/>
          <w:color w:val="000000"/>
          <w:sz w:val="21"/>
          <w:szCs w:val="21"/>
        </w:rPr>
        <w:t>详见《</w:t>
      </w:r>
      <w:r w:rsidRPr="00154065">
        <w:rPr>
          <w:rFonts w:ascii="宋体" w:eastAsia="宋体" w:hAnsi="宋体" w:hint="eastAsia"/>
          <w:b/>
          <w:bCs/>
          <w:noProof/>
          <w:sz w:val="21"/>
          <w:szCs w:val="21"/>
        </w:rPr>
        <w:t>“聚财宝”</w:t>
      </w:r>
      <w:r w:rsidR="009E24C2">
        <w:rPr>
          <w:rFonts w:ascii="宋体" w:eastAsia="宋体" w:hAnsi="宋体" w:hint="eastAsia"/>
          <w:b/>
          <w:bCs/>
          <w:noProof/>
          <w:sz w:val="21"/>
          <w:szCs w:val="21"/>
        </w:rPr>
        <w:t>周末发2013年</w:t>
      </w:r>
      <w:r w:rsidR="009E24C2" w:rsidRPr="00335E2B">
        <w:rPr>
          <w:rFonts w:ascii="宋体" w:eastAsia="宋体" w:hAnsi="宋体" w:hint="eastAsia"/>
          <w:b/>
          <w:bCs/>
          <w:noProof/>
          <w:sz w:val="21"/>
          <w:szCs w:val="21"/>
          <w:highlight w:val="yellow"/>
        </w:rPr>
        <w:t>116期</w:t>
      </w:r>
      <w:r w:rsidR="009E24C2">
        <w:rPr>
          <w:rFonts w:ascii="宋体" w:eastAsia="宋体" w:hAnsi="宋体" w:hint="eastAsia"/>
          <w:b/>
          <w:bCs/>
          <w:noProof/>
          <w:sz w:val="21"/>
          <w:szCs w:val="21"/>
        </w:rPr>
        <w:t>人民币理财产品</w:t>
      </w:r>
      <w:r w:rsidRPr="00191CB3">
        <w:rPr>
          <w:rFonts w:ascii="宋体" w:eastAsia="宋体" w:hAnsi="宋体" w:hint="eastAsia"/>
          <w:b/>
          <w:snapToGrid w:val="0"/>
          <w:color w:val="000000"/>
          <w:sz w:val="21"/>
          <w:szCs w:val="21"/>
        </w:rPr>
        <w:t>风险揭示书》，</w:t>
      </w:r>
      <w:r w:rsidRPr="00191CB3">
        <w:rPr>
          <w:rFonts w:ascii="宋体" w:eastAsia="宋体" w:hAnsi="宋体"/>
          <w:b/>
          <w:snapToGrid w:val="0"/>
          <w:color w:val="000000"/>
          <w:sz w:val="21"/>
          <w:szCs w:val="21"/>
        </w:rPr>
        <w:t>请投资者详细阅读，在充分了解并清楚知晓本产品蕴含风险的基础上，通过自身判断自主参与交易，并自愿承担相关风险</w:t>
      </w:r>
      <w:r w:rsidRPr="00191CB3">
        <w:rPr>
          <w:rFonts w:ascii="宋体" w:eastAsia="宋体" w:hAnsi="宋体" w:hint="eastAsia"/>
          <w:b/>
          <w:snapToGrid w:val="0"/>
          <w:color w:val="000000"/>
          <w:sz w:val="21"/>
          <w:szCs w:val="21"/>
        </w:rPr>
        <w:t>。</w:t>
      </w:r>
    </w:p>
    <w:p w:rsidR="00B124BD" w:rsidRPr="00AD7577" w:rsidRDefault="00B124BD" w:rsidP="003D658A">
      <w:pPr>
        <w:ind w:leftChars="-94" w:left="-282"/>
        <w:rPr>
          <w:rFonts w:ascii="宋体" w:eastAsia="宋体" w:hAnsi="宋体"/>
          <w:b/>
          <w:sz w:val="24"/>
          <w:szCs w:val="24"/>
        </w:rPr>
      </w:pPr>
      <w:r w:rsidRPr="00AD7577">
        <w:rPr>
          <w:rFonts w:ascii="宋体" w:eastAsia="宋体" w:hAnsi="宋体" w:hint="eastAsia"/>
          <w:b/>
          <w:sz w:val="24"/>
          <w:szCs w:val="24"/>
        </w:rPr>
        <w:t>五</w:t>
      </w:r>
      <w:r w:rsidRPr="00191CB3">
        <w:rPr>
          <w:rFonts w:ascii="宋体" w:eastAsia="宋体" w:hAnsi="宋体" w:hint="eastAsia"/>
          <w:b/>
          <w:sz w:val="24"/>
          <w:szCs w:val="24"/>
        </w:rPr>
        <w:t>、信息披露</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本理财产品的公开信息披露将通过平安银行认为适当的方式、地点进行。银行、投资者同意理财资产报告无需审计。如监管机构认为需要审计，相关审计费用由理财资产承担。</w:t>
      </w:r>
    </w:p>
    <w:p w:rsidR="00B124BD" w:rsidRPr="00191CB3" w:rsidRDefault="00B124BD"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本产品信息披露的具体内容和时间规定等详见《平安银行理财产品客户权益须知》，</w:t>
      </w:r>
      <w:r w:rsidRPr="00191CB3">
        <w:rPr>
          <w:rFonts w:ascii="宋体" w:eastAsia="宋体" w:hAnsi="宋体"/>
          <w:b/>
          <w:snapToGrid w:val="0"/>
          <w:color w:val="000000"/>
          <w:sz w:val="21"/>
          <w:szCs w:val="21"/>
        </w:rPr>
        <w:t>请投资者详细阅读</w:t>
      </w:r>
      <w:r w:rsidRPr="00191CB3">
        <w:rPr>
          <w:rFonts w:ascii="宋体" w:eastAsia="宋体" w:hAnsi="宋体" w:hint="eastAsia"/>
          <w:b/>
          <w:snapToGrid w:val="0"/>
          <w:color w:val="000000"/>
          <w:sz w:val="21"/>
          <w:szCs w:val="21"/>
        </w:rPr>
        <w:t>并注意查阅相关产品信息。</w:t>
      </w:r>
    </w:p>
    <w:p w:rsidR="00B124BD" w:rsidRPr="00191CB3" w:rsidRDefault="00B124BD" w:rsidP="003D658A">
      <w:pPr>
        <w:ind w:leftChars="-94" w:left="-282"/>
        <w:rPr>
          <w:rFonts w:ascii="宋体" w:eastAsia="宋体" w:hAnsi="宋体"/>
          <w:b/>
          <w:sz w:val="24"/>
          <w:szCs w:val="24"/>
        </w:rPr>
      </w:pPr>
      <w:r>
        <w:rPr>
          <w:rFonts w:ascii="宋体" w:eastAsia="宋体" w:hAnsi="宋体" w:hint="eastAsia"/>
          <w:b/>
          <w:sz w:val="24"/>
          <w:szCs w:val="24"/>
        </w:rPr>
        <w:t>六</w:t>
      </w:r>
      <w:r w:rsidRPr="00191CB3">
        <w:rPr>
          <w:rFonts w:ascii="宋体" w:eastAsia="宋体" w:hAnsi="宋体" w:hint="eastAsia"/>
          <w:b/>
          <w:sz w:val="24"/>
          <w:szCs w:val="24"/>
        </w:rPr>
        <w:t>、其他重要事项说明</w:t>
      </w:r>
    </w:p>
    <w:p w:rsidR="00B124BD" w:rsidRPr="00191CB3" w:rsidRDefault="00B124BD"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1、由于投资者原因导致平安银行终止双方理财关系的情形</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（1）若因投资者原因导致扣款失败，则投资者认购本理财产品失败。</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（3）由于投资者原因导致，在法律允许的范围内平安银行认定必须终止与该投资者对于本理财产品的理财关系的其他情形。</w:t>
      </w:r>
    </w:p>
    <w:p w:rsidR="00B124BD" w:rsidRPr="00191CB3" w:rsidRDefault="00B124BD"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2、理财产品合同违约</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理财产品存续期内，投资者不得以本理财资金设定其他任何第三方权益。如因司法或行政机构采取强制措施导致理财账户内资产的部分或全部被扣划，均被视为投资者违反本理财计划合约，并承担全部经济损失。</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（2）若投资者发生违约，给本期理财产品或本期理财产品下的其他投资者、银行或/及任何其</w:t>
      </w:r>
      <w:r w:rsidRPr="00191CB3">
        <w:rPr>
          <w:rFonts w:ascii="宋体" w:eastAsia="宋体" w:hAnsi="宋体" w:hint="eastAsia"/>
          <w:snapToGrid w:val="0"/>
          <w:color w:val="000000"/>
          <w:sz w:val="21"/>
          <w:szCs w:val="21"/>
        </w:rPr>
        <w:lastRenderedPageBreak/>
        <w:t>他第三方造成损失，均由违约投资者承担经济赔偿责任；同时平安银行有权代表本期理财计划向责任方依法追偿，追偿所得在扣除追偿费用后计入本期理财产品资产。</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中国国际经济贸易仲裁委员会华南分会仲裁解决。</w:t>
      </w:r>
    </w:p>
    <w:p w:rsidR="00B124BD" w:rsidRPr="00191CB3" w:rsidRDefault="00B124BD" w:rsidP="003D658A">
      <w:pPr>
        <w:ind w:leftChars="-94" w:left="-282"/>
        <w:rPr>
          <w:rFonts w:ascii="宋体" w:eastAsia="宋体" w:hAnsi="宋体"/>
          <w:b/>
          <w:sz w:val="24"/>
          <w:szCs w:val="24"/>
        </w:rPr>
      </w:pPr>
      <w:r>
        <w:rPr>
          <w:rFonts w:ascii="宋体" w:eastAsia="宋体" w:hAnsi="宋体" w:hint="eastAsia"/>
          <w:b/>
          <w:sz w:val="24"/>
          <w:szCs w:val="24"/>
        </w:rPr>
        <w:t>七</w:t>
      </w:r>
      <w:r w:rsidRPr="00191CB3">
        <w:rPr>
          <w:rFonts w:ascii="宋体" w:eastAsia="宋体" w:hAnsi="宋体" w:hint="eastAsia"/>
          <w:b/>
          <w:sz w:val="24"/>
          <w:szCs w:val="24"/>
        </w:rPr>
        <w:t>、特别提示</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本理财产品说明书为《</w:t>
      </w:r>
      <w:r w:rsidRPr="00191CB3">
        <w:rPr>
          <w:rFonts w:ascii="宋体" w:eastAsia="宋体" w:hAnsi="宋体" w:hint="eastAsia"/>
          <w:snapToGrid w:val="0"/>
          <w:color w:val="000000"/>
          <w:sz w:val="21"/>
          <w:szCs w:val="21"/>
        </w:rPr>
        <w:t>平安银行理财产品合约</w:t>
      </w:r>
      <w:r w:rsidRPr="00191CB3">
        <w:rPr>
          <w:rFonts w:ascii="宋体" w:eastAsia="宋体" w:hAnsi="宋体"/>
          <w:snapToGrid w:val="0"/>
          <w:color w:val="000000"/>
          <w:sz w:val="21"/>
          <w:szCs w:val="21"/>
        </w:rPr>
        <w:t>》不可分割之组成部分</w:t>
      </w:r>
      <w:r w:rsidRPr="00191CB3">
        <w:rPr>
          <w:rFonts w:ascii="宋体" w:eastAsia="宋体" w:hAnsi="宋体" w:hint="eastAsia"/>
          <w:snapToGrid w:val="0"/>
          <w:color w:val="000000"/>
          <w:sz w:val="21"/>
          <w:szCs w:val="21"/>
        </w:rPr>
        <w:t>，与</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平安银行理财产品合约</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不同之处，以本理财产品说明书为准</w:t>
      </w:r>
      <w:r w:rsidRPr="00191CB3">
        <w:rPr>
          <w:rFonts w:ascii="宋体" w:eastAsia="宋体" w:hAnsi="宋体"/>
          <w:snapToGrid w:val="0"/>
          <w:color w:val="000000"/>
          <w:sz w:val="21"/>
          <w:szCs w:val="21"/>
        </w:rPr>
        <w:t>。</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本理财计划仅向依据中华人民共和国有关法律法规及本说明书规定可以购买本理财计划的合格个人投资者发售。</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在购买本理财产品前，请投资者确保完全了解本理财计划的性质、其中涉及的风险以及投资者的自身情况。</w:t>
      </w:r>
      <w:r w:rsidRPr="00191CB3">
        <w:rPr>
          <w:rFonts w:ascii="宋体" w:eastAsia="宋体" w:hAnsi="宋体" w:hint="eastAsia"/>
          <w:snapToGrid w:val="0"/>
          <w:color w:val="000000"/>
          <w:sz w:val="21"/>
          <w:szCs w:val="21"/>
        </w:rPr>
        <w:t>若投资者对本理财产品说明书的内容有任何疑问，请向平安银行各营业网点理财经理咨询。</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除本产品说明书中明确规定的收益及收益分配方式外，任何其他收益表述均属不具有法律约束力的用语，不代表投资者可能获得的实际收益，亦不构成平安银行对本理财产品的额外收益承诺。</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本理财产品只根据本产品说明书所载的内容操作。</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本理财产品不等同于银行存款。</w:t>
      </w:r>
    </w:p>
    <w:p w:rsidR="00B124BD" w:rsidRPr="00191CB3" w:rsidRDefault="00B124BD"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本理财产品说明书由平安银行负责解释。</w:t>
      </w:r>
    </w:p>
    <w:p w:rsidR="00B124BD" w:rsidRPr="00191CB3" w:rsidRDefault="00B124BD" w:rsidP="003D658A">
      <w:pPr>
        <w:adjustRightInd w:val="0"/>
        <w:snapToGrid w:val="0"/>
        <w:spacing w:line="440" w:lineRule="exact"/>
        <w:ind w:firstLineChars="200" w:firstLine="420"/>
        <w:textAlignment w:val="center"/>
        <w:rPr>
          <w:rFonts w:ascii="宋体" w:eastAsia="宋体" w:hAnsi="宋体"/>
          <w:snapToGrid w:val="0"/>
        </w:rPr>
      </w:pPr>
      <w:r w:rsidRPr="00191CB3">
        <w:rPr>
          <w:rFonts w:ascii="宋体" w:eastAsia="宋体" w:hAnsi="宋体" w:hint="eastAsia"/>
          <w:snapToGrid w:val="0"/>
          <w:color w:val="000000"/>
          <w:sz w:val="21"/>
          <w:szCs w:val="21"/>
        </w:rPr>
        <w:t>―――――――――――――――――――――――――――――――――――――</w:t>
      </w:r>
    </w:p>
    <w:p w:rsidR="00B124BD" w:rsidRPr="00191CB3" w:rsidRDefault="00B124BD" w:rsidP="003D658A">
      <w:pPr>
        <w:adjustRightInd w:val="0"/>
        <w:snapToGrid w:val="0"/>
        <w:spacing w:line="440" w:lineRule="exact"/>
        <w:textAlignment w:val="center"/>
        <w:rPr>
          <w:rFonts w:ascii="宋体" w:eastAsia="宋体" w:hAnsi="宋体"/>
          <w:snapToGrid w:val="0"/>
        </w:rPr>
        <w:sectPr w:rsidR="00B124BD" w:rsidRPr="00191CB3" w:rsidSect="00134859">
          <w:footerReference w:type="even" r:id="rId7"/>
          <w:footerReference w:type="default" r:id="rId8"/>
          <w:pgSz w:w="11906" w:h="16838"/>
          <w:pgMar w:top="1440" w:right="1800" w:bottom="1440" w:left="1800" w:header="851" w:footer="992" w:gutter="0"/>
          <w:pgNumType w:start="1"/>
          <w:cols w:space="425"/>
          <w:docGrid w:type="lines" w:linePitch="312"/>
        </w:sectPr>
      </w:pPr>
    </w:p>
    <w:p w:rsidR="00B124BD" w:rsidRPr="00191CB3" w:rsidRDefault="00B124BD" w:rsidP="003D658A">
      <w:pPr>
        <w:widowControl/>
        <w:snapToGrid w:val="0"/>
        <w:spacing w:before="100" w:beforeAutospacing="1" w:after="100" w:afterAutospacing="1" w:line="360" w:lineRule="exact"/>
        <w:ind w:firstLineChars="200" w:firstLine="482"/>
        <w:jc w:val="left"/>
        <w:rPr>
          <w:rFonts w:ascii="仿宋_GB2312" w:hAnsi="宋体" w:cs="宋体"/>
          <w:b/>
          <w:bCs/>
          <w:kern w:val="0"/>
          <w:sz w:val="24"/>
          <w:szCs w:val="21"/>
        </w:rPr>
      </w:pPr>
      <w:r w:rsidRPr="00191CB3">
        <w:rPr>
          <w:rFonts w:ascii="仿宋_GB2312" w:hAnsi="宋体" w:cs="宋体" w:hint="eastAsia"/>
          <w:b/>
          <w:bCs/>
          <w:kern w:val="0"/>
          <w:sz w:val="24"/>
          <w:szCs w:val="21"/>
        </w:rPr>
        <w:lastRenderedPageBreak/>
        <w:t>本产品投资人已阅读并领取《</w:t>
      </w:r>
      <w:r w:rsidRPr="00154065">
        <w:rPr>
          <w:rFonts w:ascii="仿宋_GB2312" w:hAnsi="宋体" w:cs="宋体" w:hint="eastAsia"/>
          <w:b/>
          <w:bCs/>
          <w:noProof/>
          <w:kern w:val="0"/>
          <w:sz w:val="24"/>
          <w:szCs w:val="21"/>
        </w:rPr>
        <w:t>“聚财宝”</w:t>
      </w:r>
      <w:r w:rsidR="009E24C2">
        <w:rPr>
          <w:rFonts w:ascii="仿宋_GB2312" w:hAnsi="宋体" w:cs="宋体" w:hint="eastAsia"/>
          <w:b/>
          <w:bCs/>
          <w:noProof/>
          <w:kern w:val="0"/>
          <w:sz w:val="24"/>
          <w:szCs w:val="21"/>
        </w:rPr>
        <w:t>周末发2013年</w:t>
      </w:r>
      <w:r w:rsidR="009E24C2" w:rsidRPr="00335E2B">
        <w:rPr>
          <w:rFonts w:ascii="仿宋_GB2312" w:hAnsi="宋体" w:cs="宋体" w:hint="eastAsia"/>
          <w:b/>
          <w:bCs/>
          <w:noProof/>
          <w:kern w:val="0"/>
          <w:sz w:val="24"/>
          <w:szCs w:val="21"/>
          <w:highlight w:val="yellow"/>
        </w:rPr>
        <w:t>116期</w:t>
      </w:r>
      <w:r w:rsidR="009E24C2">
        <w:rPr>
          <w:rFonts w:ascii="仿宋_GB2312" w:hAnsi="宋体" w:cs="宋体" w:hint="eastAsia"/>
          <w:b/>
          <w:bCs/>
          <w:noProof/>
          <w:kern w:val="0"/>
          <w:sz w:val="24"/>
          <w:szCs w:val="21"/>
        </w:rPr>
        <w:t>人民币理财产品</w:t>
      </w:r>
      <w:r w:rsidRPr="00191CB3">
        <w:rPr>
          <w:rFonts w:ascii="仿宋_GB2312" w:hAnsi="宋体" w:cs="宋体" w:hint="eastAsia"/>
          <w:b/>
          <w:bCs/>
          <w:kern w:val="0"/>
          <w:sz w:val="24"/>
          <w:szCs w:val="21"/>
        </w:rPr>
        <w:t>说明书》，共4页，充分了解本产品的收益和风险，自愿购买。</w:t>
      </w:r>
    </w:p>
    <w:p w:rsidR="00B124BD" w:rsidRPr="00C455D2" w:rsidRDefault="00B124BD" w:rsidP="003D658A">
      <w:pPr>
        <w:widowControl/>
        <w:snapToGrid w:val="0"/>
        <w:spacing w:before="100" w:beforeAutospacing="1" w:after="100" w:afterAutospacing="1" w:line="360" w:lineRule="exact"/>
        <w:ind w:firstLineChars="196" w:firstLine="472"/>
        <w:jc w:val="left"/>
        <w:rPr>
          <w:rFonts w:ascii="仿宋_GB2312" w:hAnsi="宋体"/>
          <w:snapToGrid w:val="0"/>
        </w:rPr>
      </w:pPr>
      <w:r w:rsidRPr="00191CB3">
        <w:rPr>
          <w:rFonts w:ascii="仿宋_GB2312" w:hAnsi="宋体" w:cs="宋体" w:hint="eastAsia"/>
          <w:b/>
          <w:bCs/>
          <w:kern w:val="0"/>
          <w:sz w:val="24"/>
          <w:szCs w:val="21"/>
        </w:rPr>
        <w:t>投资人签字：                                 日    期：</w:t>
      </w:r>
    </w:p>
    <w:p w:rsidR="00B124BD" w:rsidRPr="003D658A" w:rsidRDefault="00B124BD" w:rsidP="003D658A"/>
    <w:sectPr w:rsidR="00B124BD" w:rsidRPr="003D658A" w:rsidSect="00B124BD">
      <w:type w:val="continuous"/>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27DB" w:rsidRDefault="005727DB">
      <w:r>
        <w:separator/>
      </w:r>
    </w:p>
  </w:endnote>
  <w:endnote w:type="continuationSeparator" w:id="1">
    <w:p w:rsidR="005727DB" w:rsidRDefault="005727D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24BD" w:rsidRDefault="00CF40D9" w:rsidP="00134859">
    <w:pPr>
      <w:pStyle w:val="a3"/>
      <w:framePr w:wrap="around" w:vAnchor="text" w:hAnchor="margin" w:xAlign="center" w:y="1"/>
      <w:rPr>
        <w:rStyle w:val="a5"/>
      </w:rPr>
    </w:pPr>
    <w:r>
      <w:rPr>
        <w:rStyle w:val="a5"/>
      </w:rPr>
      <w:fldChar w:fldCharType="begin"/>
    </w:r>
    <w:r w:rsidR="00B124BD">
      <w:rPr>
        <w:rStyle w:val="a5"/>
      </w:rPr>
      <w:instrText xml:space="preserve">PAGE  </w:instrText>
    </w:r>
    <w:r>
      <w:rPr>
        <w:rStyle w:val="a5"/>
      </w:rPr>
      <w:fldChar w:fldCharType="separate"/>
    </w:r>
    <w:r w:rsidR="00B124BD">
      <w:rPr>
        <w:rStyle w:val="a5"/>
        <w:noProof/>
      </w:rPr>
      <w:t>2</w:t>
    </w:r>
    <w:r>
      <w:rPr>
        <w:rStyle w:val="a5"/>
      </w:rPr>
      <w:fldChar w:fldCharType="end"/>
    </w:r>
  </w:p>
  <w:p w:rsidR="00B124BD" w:rsidRDefault="00B124BD">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24BD" w:rsidRDefault="00CF40D9" w:rsidP="00134859">
    <w:pPr>
      <w:pStyle w:val="a3"/>
      <w:framePr w:wrap="around" w:vAnchor="text" w:hAnchor="margin" w:xAlign="center" w:y="1"/>
      <w:rPr>
        <w:rStyle w:val="a5"/>
      </w:rPr>
    </w:pPr>
    <w:r>
      <w:rPr>
        <w:rStyle w:val="a5"/>
      </w:rPr>
      <w:fldChar w:fldCharType="begin"/>
    </w:r>
    <w:r w:rsidR="00B124BD">
      <w:rPr>
        <w:rStyle w:val="a5"/>
      </w:rPr>
      <w:instrText xml:space="preserve">PAGE  </w:instrText>
    </w:r>
    <w:r>
      <w:rPr>
        <w:rStyle w:val="a5"/>
      </w:rPr>
      <w:fldChar w:fldCharType="separate"/>
    </w:r>
    <w:r w:rsidR="00335E2B">
      <w:rPr>
        <w:rStyle w:val="a5"/>
        <w:noProof/>
      </w:rPr>
      <w:t>1</w:t>
    </w:r>
    <w:r>
      <w:rPr>
        <w:rStyle w:val="a5"/>
      </w:rPr>
      <w:fldChar w:fldCharType="end"/>
    </w:r>
  </w:p>
  <w:p w:rsidR="00B124BD" w:rsidRDefault="00B124BD">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27DB" w:rsidRDefault="005727DB">
      <w:r>
        <w:separator/>
      </w:r>
    </w:p>
  </w:footnote>
  <w:footnote w:type="continuationSeparator" w:id="1">
    <w:p w:rsidR="005727DB" w:rsidRDefault="005727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F03464"/>
    <w:multiLevelType w:val="hybridMultilevel"/>
    <w:tmpl w:val="1BC0E3F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D658A"/>
    <w:rsid w:val="000434EA"/>
    <w:rsid w:val="00134859"/>
    <w:rsid w:val="00184086"/>
    <w:rsid w:val="001B4F93"/>
    <w:rsid w:val="00335E2B"/>
    <w:rsid w:val="003D658A"/>
    <w:rsid w:val="00537C99"/>
    <w:rsid w:val="005727DB"/>
    <w:rsid w:val="005A7A45"/>
    <w:rsid w:val="00645BDF"/>
    <w:rsid w:val="00653021"/>
    <w:rsid w:val="00751F58"/>
    <w:rsid w:val="00915369"/>
    <w:rsid w:val="00943F7F"/>
    <w:rsid w:val="0096287C"/>
    <w:rsid w:val="009E24C2"/>
    <w:rsid w:val="00A97607"/>
    <w:rsid w:val="00AA3D83"/>
    <w:rsid w:val="00AC150D"/>
    <w:rsid w:val="00AF6FCE"/>
    <w:rsid w:val="00B124BD"/>
    <w:rsid w:val="00B6748D"/>
    <w:rsid w:val="00B86306"/>
    <w:rsid w:val="00CF40D9"/>
    <w:rsid w:val="00FE525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658A"/>
    <w:pPr>
      <w:widowControl w:val="0"/>
      <w:jc w:val="both"/>
    </w:pPr>
    <w:rPr>
      <w:rFonts w:ascii="Times New Roman" w:eastAsia="仿宋_GB2312" w:hAnsi="Times New Roman"/>
      <w:kern w:val="2"/>
      <w:sz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3D658A"/>
    <w:pPr>
      <w:tabs>
        <w:tab w:val="center" w:pos="4153"/>
        <w:tab w:val="right" w:pos="8306"/>
      </w:tabs>
      <w:snapToGrid w:val="0"/>
      <w:jc w:val="left"/>
    </w:pPr>
    <w:rPr>
      <w:sz w:val="18"/>
      <w:szCs w:val="18"/>
    </w:rPr>
  </w:style>
  <w:style w:type="character" w:customStyle="1" w:styleId="Char">
    <w:name w:val="页脚 Char"/>
    <w:basedOn w:val="a0"/>
    <w:link w:val="a3"/>
    <w:rsid w:val="003D658A"/>
    <w:rPr>
      <w:rFonts w:ascii="Times New Roman" w:eastAsia="仿宋_GB2312" w:hAnsi="Times New Roman" w:cs="Times New Roman"/>
      <w:sz w:val="18"/>
      <w:szCs w:val="18"/>
    </w:rPr>
  </w:style>
  <w:style w:type="character" w:customStyle="1" w:styleId="corporatetitle1">
    <w:name w:val="corporatetitle1"/>
    <w:basedOn w:val="a0"/>
    <w:rsid w:val="003D658A"/>
    <w:rPr>
      <w:b/>
      <w:bCs/>
      <w:color w:val="CC0000"/>
      <w:spacing w:val="375"/>
      <w:sz w:val="22"/>
      <w:szCs w:val="22"/>
    </w:rPr>
  </w:style>
  <w:style w:type="paragraph" w:styleId="a4">
    <w:name w:val="annotation text"/>
    <w:basedOn w:val="a"/>
    <w:link w:val="Char0"/>
    <w:semiHidden/>
    <w:rsid w:val="003D658A"/>
    <w:pPr>
      <w:jc w:val="left"/>
    </w:pPr>
  </w:style>
  <w:style w:type="character" w:customStyle="1" w:styleId="Char0">
    <w:name w:val="批注文字 Char"/>
    <w:basedOn w:val="a0"/>
    <w:link w:val="a4"/>
    <w:semiHidden/>
    <w:rsid w:val="003D658A"/>
    <w:rPr>
      <w:rFonts w:ascii="Times New Roman" w:eastAsia="仿宋_GB2312" w:hAnsi="Times New Roman" w:cs="Times New Roman"/>
      <w:sz w:val="30"/>
      <w:szCs w:val="20"/>
    </w:rPr>
  </w:style>
  <w:style w:type="character" w:styleId="a5">
    <w:name w:val="page number"/>
    <w:basedOn w:val="a0"/>
    <w:rsid w:val="003D658A"/>
  </w:style>
  <w:style w:type="paragraph" w:styleId="a6">
    <w:name w:val="header"/>
    <w:basedOn w:val="a"/>
    <w:link w:val="Char1"/>
    <w:uiPriority w:val="99"/>
    <w:semiHidden/>
    <w:unhideWhenUsed/>
    <w:rsid w:val="00645BD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semiHidden/>
    <w:rsid w:val="00645BDF"/>
    <w:rPr>
      <w:rFonts w:ascii="Times New Roman" w:eastAsia="仿宋_GB2312" w:hAnsi="Times New Roman"/>
      <w:kern w:val="2"/>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735</Words>
  <Characters>4193</Characters>
  <Application>Microsoft Office Word</Application>
  <DocSecurity>0</DocSecurity>
  <Lines>34</Lines>
  <Paragraphs>9</Paragraphs>
  <ScaleCrop>false</ScaleCrop>
  <Company>sdb</Company>
  <LinksUpToDate>false</LinksUpToDate>
  <CharactersWithSpaces>4919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sdb</cp:lastModifiedBy>
  <cp:revision>13</cp:revision>
  <dcterms:created xsi:type="dcterms:W3CDTF">2013-08-22T02:46:00Z</dcterms:created>
  <dcterms:modified xsi:type="dcterms:W3CDTF">2013-09-18T03:50:00Z</dcterms:modified>
</cp:coreProperties>
</file>