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240" w:type="dxa"/>
        <w:tblCellMar>
          <w:left w:w="0" w:type="dxa"/>
          <w:right w:w="0" w:type="dxa"/>
        </w:tblCellMar>
        <w:tblLook w:val="04A0"/>
      </w:tblPr>
      <w:tblGrid>
        <w:gridCol w:w="3330"/>
        <w:gridCol w:w="10"/>
        <w:gridCol w:w="4900"/>
      </w:tblGrid>
      <w:tr w:rsidR="00662386" w:rsidTr="00662386">
        <w:trPr>
          <w:trHeight w:val="735"/>
        </w:trPr>
        <w:tc>
          <w:tcPr>
            <w:tcW w:w="8240" w:type="dxa"/>
            <w:gridSpan w:val="3"/>
            <w:tcBorders>
              <w:top w:val="nil"/>
              <w:left w:val="nil"/>
              <w:bottom w:val="nil"/>
              <w:right w:val="nil"/>
            </w:tcBorders>
            <w:shd w:val="clear" w:color="auto" w:fill="auto"/>
            <w:vAlign w:val="center"/>
            <w:hideMark/>
          </w:tcPr>
          <w:p w:rsidR="00662386" w:rsidRDefault="00662386">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平安财富—和盈资产管理类2015年34期人民币理财产品说明书</w:t>
            </w:r>
          </w:p>
        </w:tc>
      </w:tr>
      <w:tr w:rsidR="00662386" w:rsidTr="00662386">
        <w:trPr>
          <w:trHeight w:val="3210"/>
        </w:trPr>
        <w:tc>
          <w:tcPr>
            <w:tcW w:w="82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662386" w:rsidRDefault="00662386">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662386" w:rsidTr="00662386">
        <w:trPr>
          <w:trHeight w:val="285"/>
        </w:trPr>
        <w:tc>
          <w:tcPr>
            <w:tcW w:w="0" w:type="auto"/>
            <w:tcBorders>
              <w:top w:val="nil"/>
              <w:left w:val="nil"/>
              <w:bottom w:val="nil"/>
              <w:right w:val="nil"/>
            </w:tcBorders>
            <w:shd w:val="clear" w:color="auto" w:fill="auto"/>
            <w:noWrap/>
            <w:vAlign w:val="center"/>
            <w:hideMark/>
          </w:tcPr>
          <w:p w:rsidR="00662386" w:rsidRDefault="00662386">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662386" w:rsidRDefault="00662386">
            <w:pPr>
              <w:rPr>
                <w:b/>
                <w:bCs/>
                <w:color w:val="00000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2386" w:rsidRDefault="00662386">
            <w:pPr>
              <w:rPr>
                <w:rFonts w:ascii="宋体" w:eastAsia="宋体" w:hAnsi="宋体" w:cs="宋体"/>
                <w:color w:val="000000"/>
                <w:sz w:val="22"/>
              </w:rPr>
            </w:pPr>
            <w:r>
              <w:rPr>
                <w:rFonts w:hint="eastAsia"/>
                <w:color w:val="000000"/>
                <w:sz w:val="22"/>
              </w:rPr>
              <w:t>产品名称</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34</w:t>
            </w:r>
            <w:r>
              <w:rPr>
                <w:rFonts w:hint="eastAsia"/>
                <w:b/>
                <w:bCs/>
                <w:color w:val="000000"/>
                <w:sz w:val="22"/>
              </w:rPr>
              <w:t>期人民币理财产品</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产品风险评级</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“二级”低风险</w:t>
            </w:r>
          </w:p>
        </w:tc>
      </w:tr>
      <w:tr w:rsidR="00662386" w:rsidTr="0066238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适合客户</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662386" w:rsidTr="0066238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产品期限</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80</w:t>
            </w:r>
            <w:r>
              <w:rPr>
                <w:rFonts w:hint="eastAsia"/>
                <w:color w:val="000000"/>
                <w:sz w:val="22"/>
              </w:rPr>
              <w:t>天</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投资及收益币种</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人民币</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产品类型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非保本浮动收益型产品</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计划发行量</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10</w:t>
            </w:r>
            <w:r>
              <w:rPr>
                <w:rFonts w:hint="eastAsia"/>
                <w:color w:val="000000"/>
                <w:sz w:val="22"/>
              </w:rPr>
              <w:t>亿元，平安银行有权按照实际情况进行调整。</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单位金额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认购起点金额</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662386" w:rsidTr="0066238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产品认购期</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21</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认购划款日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p>
        </w:tc>
      </w:tr>
      <w:tr w:rsidR="00662386" w:rsidTr="00662386">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产品成立</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662386" w:rsidTr="0066238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产品成立日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662386" w:rsidTr="0066238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lastRenderedPageBreak/>
              <w:t>产品到期日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16</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662386" w:rsidTr="0066238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资金到账日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理财资产管理人</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平安银行股份有限公司</w:t>
            </w:r>
          </w:p>
        </w:tc>
      </w:tr>
      <w:tr w:rsidR="00662386" w:rsidTr="0066238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收益率测算</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根据当期可投资资产收益率，扣除产品的成本，本期产品预期最高年化收益率为</w:t>
            </w:r>
            <w:r w:rsidR="001A1F15">
              <w:rPr>
                <w:rFonts w:hint="eastAsia"/>
                <w:color w:val="000000"/>
                <w:sz w:val="22"/>
              </w:rPr>
              <w:t>5.50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662386" w:rsidTr="0066238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产品认购</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662386" w:rsidTr="0066238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提前和延期终止权</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工作日</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国家法定工作日</w:t>
            </w:r>
          </w:p>
        </w:tc>
      </w:tr>
      <w:tr w:rsidR="00662386" w:rsidTr="0066238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收益计算方法</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662386" w:rsidTr="0066238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税款</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理财收益的应纳税款由投资者自行申报及缴纳</w:t>
            </w:r>
          </w:p>
        </w:tc>
      </w:tr>
      <w:tr w:rsidR="00662386" w:rsidTr="0066238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662386" w:rsidRDefault="00662386">
            <w:pPr>
              <w:rPr>
                <w:color w:val="000000"/>
                <w:sz w:val="22"/>
              </w:rPr>
            </w:pPr>
            <w:r>
              <w:rPr>
                <w:rFonts w:hint="eastAsia"/>
                <w:color w:val="000000"/>
                <w:sz w:val="22"/>
              </w:rPr>
              <w:t>其他规定</w:t>
            </w:r>
          </w:p>
        </w:tc>
        <w:tc>
          <w:tcPr>
            <w:tcW w:w="5980" w:type="dxa"/>
            <w:gridSpan w:val="2"/>
            <w:tcBorders>
              <w:top w:val="single" w:sz="4" w:space="0" w:color="auto"/>
              <w:left w:val="nil"/>
              <w:bottom w:val="single" w:sz="4" w:space="0" w:color="auto"/>
              <w:right w:val="single" w:sz="4" w:space="0" w:color="auto"/>
            </w:tcBorders>
            <w:shd w:val="clear" w:color="auto" w:fill="auto"/>
            <w:vAlign w:val="center"/>
            <w:hideMark/>
          </w:tcPr>
          <w:p w:rsidR="00662386" w:rsidRDefault="00662386">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662386" w:rsidTr="00662386">
        <w:trPr>
          <w:trHeight w:val="270"/>
        </w:trPr>
        <w:tc>
          <w:tcPr>
            <w:tcW w:w="0" w:type="auto"/>
            <w:gridSpan w:val="3"/>
            <w:tcBorders>
              <w:top w:val="single" w:sz="4" w:space="0" w:color="auto"/>
              <w:left w:val="nil"/>
              <w:bottom w:val="nil"/>
              <w:right w:val="nil"/>
            </w:tcBorders>
            <w:shd w:val="clear" w:color="auto" w:fill="auto"/>
            <w:noWrap/>
            <w:vAlign w:val="center"/>
            <w:hideMark/>
          </w:tcPr>
          <w:p w:rsidR="00662386" w:rsidRDefault="00662386">
            <w:pPr>
              <w:rPr>
                <w:color w:val="000000"/>
                <w:sz w:val="22"/>
              </w:rPr>
            </w:pPr>
            <w:r>
              <w:rPr>
                <w:rFonts w:hint="eastAsia"/>
                <w:color w:val="000000"/>
                <w:sz w:val="22"/>
              </w:rPr>
              <w:t>平安银行有权根据节假日进行调整，并以实际公布为准。</w:t>
            </w:r>
          </w:p>
        </w:tc>
      </w:tr>
      <w:tr w:rsidR="00662386" w:rsidTr="00662386">
        <w:trPr>
          <w:trHeight w:val="285"/>
        </w:trPr>
        <w:tc>
          <w:tcPr>
            <w:tcW w:w="0" w:type="auto"/>
            <w:tcBorders>
              <w:top w:val="nil"/>
              <w:left w:val="nil"/>
              <w:bottom w:val="nil"/>
              <w:right w:val="nil"/>
            </w:tcBorders>
            <w:shd w:val="clear" w:color="auto" w:fill="auto"/>
            <w:noWrap/>
            <w:vAlign w:val="center"/>
            <w:hideMark/>
          </w:tcPr>
          <w:p w:rsidR="00662386" w:rsidRDefault="00662386">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662386" w:rsidRDefault="00662386">
            <w:pPr>
              <w:rPr>
                <w:b/>
                <w:bCs/>
                <w:color w:val="00000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1065"/>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62386" w:rsidTr="0066238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2386" w:rsidRDefault="00662386">
            <w:pPr>
              <w:jc w:val="center"/>
              <w:rPr>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662386" w:rsidRDefault="00662386">
            <w:pPr>
              <w:jc w:val="center"/>
              <w:rPr>
                <w:color w:val="000000"/>
                <w:szCs w:val="21"/>
              </w:rPr>
            </w:pPr>
            <w:r>
              <w:rPr>
                <w:rFonts w:hint="eastAsia"/>
                <w:color w:val="000000"/>
                <w:szCs w:val="21"/>
              </w:rPr>
              <w:t>投资比例</w:t>
            </w:r>
          </w:p>
        </w:tc>
      </w:tr>
      <w:tr w:rsidR="00662386" w:rsidTr="0066238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2386" w:rsidRDefault="00662386">
            <w:pPr>
              <w:jc w:val="center"/>
              <w:rPr>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662386" w:rsidRDefault="00662386">
            <w:pPr>
              <w:jc w:val="center"/>
              <w:rPr>
                <w:color w:val="000000"/>
                <w:szCs w:val="21"/>
              </w:rPr>
            </w:pPr>
            <w:r>
              <w:rPr>
                <w:rFonts w:hint="eastAsia"/>
                <w:color w:val="000000"/>
                <w:szCs w:val="21"/>
              </w:rPr>
              <w:t>0-60%</w:t>
            </w:r>
          </w:p>
        </w:tc>
      </w:tr>
      <w:tr w:rsidR="00662386" w:rsidTr="0066238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62386" w:rsidRDefault="00662386">
            <w:pPr>
              <w:jc w:val="center"/>
              <w:rPr>
                <w:color w:val="000000"/>
                <w:sz w:val="22"/>
              </w:rPr>
            </w:pPr>
            <w:r>
              <w:rPr>
                <w:rFonts w:hint="eastAsia"/>
                <w:color w:val="000000"/>
                <w:sz w:val="22"/>
              </w:rPr>
              <w:lastRenderedPageBreak/>
              <w:t>债券资产</w:t>
            </w:r>
          </w:p>
        </w:tc>
        <w:tc>
          <w:tcPr>
            <w:tcW w:w="4900" w:type="dxa"/>
            <w:tcBorders>
              <w:top w:val="nil"/>
              <w:left w:val="nil"/>
              <w:bottom w:val="single" w:sz="4" w:space="0" w:color="auto"/>
              <w:right w:val="single" w:sz="4" w:space="0" w:color="auto"/>
            </w:tcBorders>
            <w:shd w:val="clear" w:color="auto" w:fill="auto"/>
            <w:vAlign w:val="center"/>
            <w:hideMark/>
          </w:tcPr>
          <w:p w:rsidR="00662386" w:rsidRDefault="00662386">
            <w:pPr>
              <w:jc w:val="center"/>
              <w:rPr>
                <w:color w:val="000000"/>
                <w:szCs w:val="21"/>
              </w:rPr>
            </w:pPr>
            <w:r>
              <w:rPr>
                <w:rFonts w:hint="eastAsia"/>
                <w:color w:val="000000"/>
                <w:szCs w:val="21"/>
              </w:rPr>
              <w:t>0-80%</w:t>
            </w:r>
          </w:p>
        </w:tc>
      </w:tr>
      <w:tr w:rsidR="00662386" w:rsidTr="00662386">
        <w:trPr>
          <w:trHeight w:val="600"/>
        </w:trPr>
        <w:tc>
          <w:tcPr>
            <w:tcW w:w="33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662386" w:rsidRDefault="00662386">
            <w:pPr>
              <w:jc w:val="center"/>
              <w:rPr>
                <w:color w:val="000000"/>
                <w:sz w:val="22"/>
              </w:rPr>
            </w:pPr>
            <w:r>
              <w:rPr>
                <w:rFonts w:hint="eastAsia"/>
                <w:color w:val="000000"/>
                <w:sz w:val="22"/>
              </w:rPr>
              <w:t>信托计划、委托债权、资产收益权、货币市场基金、债券基金等其他资产</w:t>
            </w:r>
          </w:p>
        </w:tc>
        <w:tc>
          <w:tcPr>
            <w:tcW w:w="4900" w:type="dxa"/>
            <w:tcBorders>
              <w:top w:val="nil"/>
              <w:left w:val="nil"/>
              <w:bottom w:val="single" w:sz="4" w:space="0" w:color="auto"/>
              <w:right w:val="single" w:sz="4" w:space="0" w:color="auto"/>
            </w:tcBorders>
            <w:shd w:val="clear" w:color="auto" w:fill="auto"/>
            <w:vAlign w:val="center"/>
            <w:hideMark/>
          </w:tcPr>
          <w:p w:rsidR="00662386" w:rsidRDefault="00662386">
            <w:pPr>
              <w:jc w:val="center"/>
              <w:rPr>
                <w:color w:val="000000"/>
                <w:szCs w:val="21"/>
              </w:rPr>
            </w:pPr>
            <w:r>
              <w:rPr>
                <w:rFonts w:hint="eastAsia"/>
                <w:color w:val="000000"/>
                <w:szCs w:val="21"/>
              </w:rPr>
              <w:t>0-90%</w:t>
            </w:r>
          </w:p>
        </w:tc>
      </w:tr>
      <w:tr w:rsidR="00662386" w:rsidTr="00662386">
        <w:trPr>
          <w:trHeight w:val="900"/>
        </w:trPr>
        <w:tc>
          <w:tcPr>
            <w:tcW w:w="8240" w:type="dxa"/>
            <w:gridSpan w:val="3"/>
            <w:tcBorders>
              <w:top w:val="nil"/>
              <w:left w:val="nil"/>
              <w:bottom w:val="nil"/>
              <w:right w:val="nil"/>
            </w:tcBorders>
            <w:shd w:val="clear" w:color="auto" w:fill="auto"/>
            <w:vAlign w:val="center"/>
            <w:hideMark/>
          </w:tcPr>
          <w:p w:rsidR="00662386" w:rsidRDefault="00662386">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662386" w:rsidTr="00662386">
        <w:trPr>
          <w:trHeight w:val="285"/>
        </w:trPr>
        <w:tc>
          <w:tcPr>
            <w:tcW w:w="0" w:type="auto"/>
            <w:gridSpan w:val="3"/>
            <w:tcBorders>
              <w:top w:val="nil"/>
              <w:left w:val="nil"/>
              <w:bottom w:val="nil"/>
              <w:right w:val="nil"/>
            </w:tcBorders>
            <w:shd w:val="clear" w:color="auto" w:fill="auto"/>
            <w:noWrap/>
            <w:vAlign w:val="center"/>
            <w:hideMark/>
          </w:tcPr>
          <w:p w:rsidR="00662386" w:rsidRDefault="00662386">
            <w:pPr>
              <w:rPr>
                <w:b/>
                <w:bCs/>
                <w:color w:val="000000"/>
                <w:sz w:val="24"/>
                <w:szCs w:val="24"/>
              </w:rPr>
            </w:pPr>
            <w:r>
              <w:rPr>
                <w:rFonts w:hint="eastAsia"/>
                <w:b/>
                <w:bCs/>
                <w:color w:val="000000"/>
              </w:rPr>
              <w:t>三、理财产品费用、收益分析与计算</w:t>
            </w:r>
          </w:p>
        </w:tc>
      </w:tr>
      <w:tr w:rsidR="00662386" w:rsidTr="00662386">
        <w:trPr>
          <w:trHeight w:val="270"/>
        </w:trPr>
        <w:tc>
          <w:tcPr>
            <w:tcW w:w="0" w:type="auto"/>
            <w:gridSpan w:val="3"/>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662386" w:rsidTr="00662386">
        <w:trPr>
          <w:trHeight w:val="3510"/>
        </w:trPr>
        <w:tc>
          <w:tcPr>
            <w:tcW w:w="8240" w:type="dxa"/>
            <w:gridSpan w:val="3"/>
            <w:tcBorders>
              <w:top w:val="nil"/>
              <w:left w:val="nil"/>
              <w:bottom w:val="nil"/>
              <w:right w:val="nil"/>
            </w:tcBorders>
            <w:shd w:val="clear" w:color="auto" w:fill="auto"/>
            <w:vAlign w:val="center"/>
            <w:hideMark/>
          </w:tcPr>
          <w:p w:rsidR="00662386" w:rsidRDefault="00662386">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662386" w:rsidTr="00662386">
        <w:trPr>
          <w:trHeight w:val="270"/>
        </w:trPr>
        <w:tc>
          <w:tcPr>
            <w:tcW w:w="0" w:type="auto"/>
            <w:gridSpan w:val="3"/>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1A1F15">
              <w:rPr>
                <w:rFonts w:hint="eastAsia"/>
                <w:b/>
                <w:bCs/>
                <w:color w:val="000000"/>
                <w:szCs w:val="21"/>
              </w:rPr>
              <w:t>5.50</w:t>
            </w:r>
            <w:r>
              <w:rPr>
                <w:rFonts w:hint="eastAsia"/>
                <w:b/>
                <w:bCs/>
                <w:color w:val="000000"/>
                <w:szCs w:val="21"/>
              </w:rPr>
              <w:t>%</w:t>
            </w:r>
          </w:p>
        </w:tc>
      </w:tr>
      <w:tr w:rsidR="00662386" w:rsidTr="00662386">
        <w:trPr>
          <w:trHeight w:val="555"/>
        </w:trPr>
        <w:tc>
          <w:tcPr>
            <w:tcW w:w="8240" w:type="dxa"/>
            <w:gridSpan w:val="3"/>
            <w:tcBorders>
              <w:top w:val="nil"/>
              <w:left w:val="nil"/>
              <w:bottom w:val="nil"/>
              <w:right w:val="nil"/>
            </w:tcBorders>
            <w:shd w:val="clear" w:color="auto" w:fill="auto"/>
            <w:vAlign w:val="center"/>
            <w:hideMark/>
          </w:tcPr>
          <w:p w:rsidR="00662386" w:rsidRDefault="00662386">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662386" w:rsidTr="00662386">
        <w:trPr>
          <w:trHeight w:val="270"/>
        </w:trPr>
        <w:tc>
          <w:tcPr>
            <w:tcW w:w="0" w:type="auto"/>
            <w:gridSpan w:val="2"/>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p>
        </w:tc>
      </w:tr>
      <w:tr w:rsidR="00662386" w:rsidTr="00662386">
        <w:trPr>
          <w:trHeight w:val="555"/>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662386" w:rsidTr="00662386">
        <w:trPr>
          <w:trHeight w:val="270"/>
        </w:trPr>
        <w:tc>
          <w:tcPr>
            <w:tcW w:w="0" w:type="auto"/>
            <w:gridSpan w:val="2"/>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p>
        </w:tc>
      </w:tr>
      <w:tr w:rsidR="00662386" w:rsidTr="00662386">
        <w:trPr>
          <w:trHeight w:val="1080"/>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662386" w:rsidTr="00662386">
        <w:trPr>
          <w:trHeight w:val="570"/>
        </w:trPr>
        <w:tc>
          <w:tcPr>
            <w:tcW w:w="8240" w:type="dxa"/>
            <w:gridSpan w:val="3"/>
            <w:tcBorders>
              <w:top w:val="nil"/>
              <w:left w:val="nil"/>
              <w:bottom w:val="nil"/>
              <w:right w:val="nil"/>
            </w:tcBorders>
            <w:shd w:val="clear" w:color="auto" w:fill="auto"/>
            <w:vAlign w:val="center"/>
            <w:hideMark/>
          </w:tcPr>
          <w:p w:rsidR="00662386" w:rsidRDefault="00662386">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1A1F15">
              <w:rPr>
                <w:rFonts w:hint="eastAsia"/>
                <w:color w:val="000000"/>
                <w:sz w:val="22"/>
              </w:rPr>
              <w:t>5.50</w:t>
            </w:r>
            <w:r>
              <w:rPr>
                <w:rFonts w:hint="eastAsia"/>
                <w:color w:val="000000"/>
                <w:sz w:val="22"/>
              </w:rPr>
              <w:t>%</w:t>
            </w:r>
          </w:p>
        </w:tc>
      </w:tr>
      <w:tr w:rsidR="00662386" w:rsidTr="00662386">
        <w:trPr>
          <w:trHeight w:val="270"/>
        </w:trPr>
        <w:tc>
          <w:tcPr>
            <w:tcW w:w="0" w:type="auto"/>
            <w:gridSpan w:val="3"/>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662386" w:rsidTr="00662386">
        <w:trPr>
          <w:trHeight w:val="1125"/>
        </w:trPr>
        <w:tc>
          <w:tcPr>
            <w:tcW w:w="8240" w:type="dxa"/>
            <w:gridSpan w:val="3"/>
            <w:tcBorders>
              <w:top w:val="nil"/>
              <w:left w:val="nil"/>
              <w:bottom w:val="nil"/>
              <w:right w:val="nil"/>
            </w:tcBorders>
            <w:shd w:val="clear" w:color="auto" w:fill="auto"/>
            <w:vAlign w:val="center"/>
            <w:hideMark/>
          </w:tcPr>
          <w:p w:rsidR="00662386" w:rsidRDefault="00662386" w:rsidP="001A1F15">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80</w:t>
            </w:r>
            <w:r>
              <w:rPr>
                <w:rFonts w:hint="eastAsia"/>
                <w:color w:val="000000"/>
                <w:sz w:val="22"/>
              </w:rPr>
              <w:t>天，客户预期最高年化收益率为</w:t>
            </w:r>
            <w:r w:rsidR="001A1F15">
              <w:rPr>
                <w:rFonts w:hint="eastAsia"/>
                <w:color w:val="000000"/>
                <w:sz w:val="22"/>
              </w:rPr>
              <w:t>5.50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1A1F15">
              <w:rPr>
                <w:rFonts w:hint="eastAsia"/>
                <w:color w:val="000000"/>
                <w:sz w:val="22"/>
              </w:rPr>
              <w:t>5.50</w:t>
            </w:r>
            <w:r>
              <w:rPr>
                <w:rFonts w:hint="eastAsia"/>
                <w:color w:val="000000"/>
                <w:sz w:val="22"/>
              </w:rPr>
              <w:t>%</w:t>
            </w:r>
            <w:r>
              <w:rPr>
                <w:rFonts w:hint="eastAsia"/>
                <w:color w:val="000000"/>
                <w:sz w:val="22"/>
              </w:rPr>
              <w:t>×</w:t>
            </w:r>
            <w:r w:rsidR="001A1F15">
              <w:rPr>
                <w:rFonts w:hint="eastAsia"/>
                <w:color w:val="000000"/>
                <w:sz w:val="22"/>
              </w:rPr>
              <w:t>80/365 =12,054.79</w:t>
            </w:r>
            <w:r>
              <w:rPr>
                <w:rFonts w:hint="eastAsia"/>
                <w:color w:val="000000"/>
                <w:sz w:val="22"/>
              </w:rPr>
              <w:t>元。</w:t>
            </w:r>
          </w:p>
        </w:tc>
      </w:tr>
      <w:tr w:rsidR="00662386" w:rsidTr="00662386">
        <w:trPr>
          <w:trHeight w:val="870"/>
        </w:trPr>
        <w:tc>
          <w:tcPr>
            <w:tcW w:w="8240" w:type="dxa"/>
            <w:gridSpan w:val="3"/>
            <w:tcBorders>
              <w:top w:val="nil"/>
              <w:left w:val="nil"/>
              <w:bottom w:val="nil"/>
              <w:right w:val="nil"/>
            </w:tcBorders>
            <w:shd w:val="clear" w:color="auto" w:fill="auto"/>
            <w:vAlign w:val="center"/>
            <w:hideMark/>
          </w:tcPr>
          <w:p w:rsidR="00662386" w:rsidRDefault="00662386">
            <w:pPr>
              <w:rPr>
                <w:color w:val="000000"/>
                <w:sz w:val="22"/>
              </w:rPr>
            </w:pPr>
            <w:r>
              <w:rPr>
                <w:rFonts w:hint="eastAsia"/>
                <w:color w:val="000000"/>
                <w:sz w:val="22"/>
              </w:rPr>
              <w:lastRenderedPageBreak/>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1A1F15">
              <w:rPr>
                <w:rFonts w:hint="eastAsia"/>
                <w:color w:val="000000"/>
                <w:sz w:val="22"/>
              </w:rPr>
              <w:t>5.50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662386" w:rsidTr="00662386">
        <w:trPr>
          <w:trHeight w:val="270"/>
        </w:trPr>
        <w:tc>
          <w:tcPr>
            <w:tcW w:w="0" w:type="auto"/>
            <w:gridSpan w:val="3"/>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0"/>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3810"/>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662386" w:rsidTr="00662386">
        <w:trPr>
          <w:trHeight w:val="285"/>
        </w:trPr>
        <w:tc>
          <w:tcPr>
            <w:tcW w:w="0" w:type="auto"/>
            <w:tcBorders>
              <w:top w:val="nil"/>
              <w:left w:val="nil"/>
              <w:bottom w:val="nil"/>
              <w:right w:val="nil"/>
            </w:tcBorders>
            <w:shd w:val="clear" w:color="auto" w:fill="auto"/>
            <w:noWrap/>
            <w:vAlign w:val="center"/>
            <w:hideMark/>
          </w:tcPr>
          <w:p w:rsidR="00662386" w:rsidRDefault="00662386">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662386" w:rsidRDefault="00662386">
            <w:pPr>
              <w:rPr>
                <w:b/>
                <w:bCs/>
                <w:color w:val="00000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1395"/>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34</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662386" w:rsidTr="00662386">
        <w:trPr>
          <w:trHeight w:val="285"/>
        </w:trPr>
        <w:tc>
          <w:tcPr>
            <w:tcW w:w="0" w:type="auto"/>
            <w:tcBorders>
              <w:top w:val="nil"/>
              <w:left w:val="nil"/>
              <w:bottom w:val="nil"/>
              <w:right w:val="nil"/>
            </w:tcBorders>
            <w:shd w:val="clear" w:color="auto" w:fill="auto"/>
            <w:noWrap/>
            <w:vAlign w:val="center"/>
            <w:hideMark/>
          </w:tcPr>
          <w:p w:rsidR="00662386" w:rsidRDefault="00662386">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662386" w:rsidRDefault="00662386">
            <w:pPr>
              <w:rPr>
                <w:b/>
                <w:bCs/>
                <w:color w:val="00000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825"/>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662386" w:rsidTr="00662386">
        <w:trPr>
          <w:trHeight w:val="570"/>
        </w:trPr>
        <w:tc>
          <w:tcPr>
            <w:tcW w:w="8240" w:type="dxa"/>
            <w:gridSpan w:val="3"/>
            <w:tcBorders>
              <w:top w:val="nil"/>
              <w:left w:val="nil"/>
              <w:bottom w:val="nil"/>
              <w:right w:val="nil"/>
            </w:tcBorders>
            <w:shd w:val="clear" w:color="auto" w:fill="auto"/>
            <w:vAlign w:val="center"/>
            <w:hideMark/>
          </w:tcPr>
          <w:p w:rsidR="00662386" w:rsidRDefault="00662386">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662386" w:rsidTr="00662386">
        <w:trPr>
          <w:trHeight w:val="270"/>
        </w:trPr>
        <w:tc>
          <w:tcPr>
            <w:tcW w:w="0" w:type="auto"/>
            <w:gridSpan w:val="2"/>
            <w:tcBorders>
              <w:top w:val="nil"/>
              <w:left w:val="nil"/>
              <w:bottom w:val="nil"/>
              <w:right w:val="nil"/>
            </w:tcBorders>
            <w:shd w:val="clear" w:color="auto" w:fill="auto"/>
            <w:noWrap/>
            <w:vAlign w:val="center"/>
            <w:hideMark/>
          </w:tcPr>
          <w:p w:rsidR="00662386" w:rsidRDefault="00662386">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 w:val="22"/>
              </w:rPr>
            </w:pPr>
          </w:p>
        </w:tc>
      </w:tr>
      <w:tr w:rsidR="00662386" w:rsidTr="00662386">
        <w:trPr>
          <w:trHeight w:val="270"/>
        </w:trPr>
        <w:tc>
          <w:tcPr>
            <w:tcW w:w="0" w:type="auto"/>
            <w:gridSpan w:val="3"/>
            <w:tcBorders>
              <w:top w:val="nil"/>
              <w:left w:val="nil"/>
              <w:bottom w:val="nil"/>
              <w:right w:val="nil"/>
            </w:tcBorders>
            <w:shd w:val="clear" w:color="auto" w:fill="auto"/>
            <w:noWrap/>
            <w:vAlign w:val="center"/>
            <w:hideMark/>
          </w:tcPr>
          <w:p w:rsidR="00662386" w:rsidRDefault="0066238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662386" w:rsidTr="00662386">
        <w:trPr>
          <w:trHeight w:val="1875"/>
        </w:trPr>
        <w:tc>
          <w:tcPr>
            <w:tcW w:w="8240" w:type="dxa"/>
            <w:gridSpan w:val="3"/>
            <w:tcBorders>
              <w:top w:val="nil"/>
              <w:left w:val="nil"/>
              <w:bottom w:val="nil"/>
              <w:right w:val="nil"/>
            </w:tcBorders>
            <w:shd w:val="clear" w:color="auto" w:fill="auto"/>
            <w:vAlign w:val="center"/>
            <w:hideMark/>
          </w:tcPr>
          <w:p w:rsidR="00662386" w:rsidRDefault="00662386">
            <w:pPr>
              <w:rPr>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662386" w:rsidTr="00662386">
        <w:trPr>
          <w:trHeight w:val="270"/>
        </w:trPr>
        <w:tc>
          <w:tcPr>
            <w:tcW w:w="0" w:type="auto"/>
            <w:gridSpan w:val="2"/>
            <w:tcBorders>
              <w:top w:val="nil"/>
              <w:left w:val="nil"/>
              <w:bottom w:val="nil"/>
              <w:right w:val="nil"/>
            </w:tcBorders>
            <w:shd w:val="clear" w:color="auto" w:fill="auto"/>
            <w:noWrap/>
            <w:vAlign w:val="center"/>
            <w:hideMark/>
          </w:tcPr>
          <w:p w:rsidR="00662386" w:rsidRDefault="00662386">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662386" w:rsidRDefault="00662386">
            <w:pPr>
              <w:rPr>
                <w:b/>
                <w:bCs/>
                <w:color w:val="000000"/>
                <w:szCs w:val="21"/>
              </w:rPr>
            </w:pPr>
          </w:p>
        </w:tc>
      </w:tr>
      <w:tr w:rsidR="00662386" w:rsidTr="00662386">
        <w:trPr>
          <w:trHeight w:val="3015"/>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662386" w:rsidTr="00662386">
        <w:trPr>
          <w:trHeight w:val="285"/>
        </w:trPr>
        <w:tc>
          <w:tcPr>
            <w:tcW w:w="0" w:type="auto"/>
            <w:tcBorders>
              <w:top w:val="nil"/>
              <w:left w:val="nil"/>
              <w:bottom w:val="nil"/>
              <w:right w:val="nil"/>
            </w:tcBorders>
            <w:shd w:val="clear" w:color="auto" w:fill="auto"/>
            <w:noWrap/>
            <w:vAlign w:val="center"/>
            <w:hideMark/>
          </w:tcPr>
          <w:p w:rsidR="00662386" w:rsidRDefault="00662386">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662386" w:rsidRDefault="00662386">
            <w:pPr>
              <w:rPr>
                <w:b/>
                <w:bCs/>
                <w:color w:val="00000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3660"/>
        </w:trPr>
        <w:tc>
          <w:tcPr>
            <w:tcW w:w="8240" w:type="dxa"/>
            <w:gridSpan w:val="3"/>
            <w:tcBorders>
              <w:top w:val="nil"/>
              <w:left w:val="nil"/>
              <w:bottom w:val="nil"/>
              <w:right w:val="nil"/>
            </w:tcBorders>
            <w:shd w:val="clear" w:color="auto" w:fill="auto"/>
            <w:vAlign w:val="center"/>
            <w:hideMark/>
          </w:tcPr>
          <w:p w:rsidR="00662386" w:rsidRDefault="0066238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662386" w:rsidTr="00662386">
        <w:trPr>
          <w:trHeight w:val="525"/>
        </w:trPr>
        <w:tc>
          <w:tcPr>
            <w:tcW w:w="8240" w:type="dxa"/>
            <w:gridSpan w:val="3"/>
            <w:tcBorders>
              <w:top w:val="nil"/>
              <w:left w:val="nil"/>
              <w:bottom w:val="nil"/>
              <w:right w:val="nil"/>
            </w:tcBorders>
            <w:shd w:val="clear" w:color="auto" w:fill="auto"/>
            <w:vAlign w:val="center"/>
            <w:hideMark/>
          </w:tcPr>
          <w:p w:rsidR="00662386" w:rsidRDefault="00662386">
            <w:pPr>
              <w:jc w:val="center"/>
              <w:rPr>
                <w:color w:val="000000"/>
                <w:sz w:val="22"/>
              </w:rPr>
            </w:pPr>
            <w:r>
              <w:rPr>
                <w:rFonts w:hint="eastAsia"/>
                <w:color w:val="000000"/>
                <w:sz w:val="22"/>
              </w:rPr>
              <w:t>―――――――――――――――――――――――――――――――――――――</w:t>
            </w:r>
          </w:p>
        </w:tc>
      </w:tr>
      <w:tr w:rsidR="00662386" w:rsidTr="00662386">
        <w:trPr>
          <w:trHeight w:val="855"/>
        </w:trPr>
        <w:tc>
          <w:tcPr>
            <w:tcW w:w="8240" w:type="dxa"/>
            <w:gridSpan w:val="3"/>
            <w:tcBorders>
              <w:top w:val="nil"/>
              <w:left w:val="nil"/>
              <w:bottom w:val="nil"/>
              <w:right w:val="nil"/>
            </w:tcBorders>
            <w:shd w:val="clear" w:color="auto" w:fill="auto"/>
            <w:vAlign w:val="center"/>
            <w:hideMark/>
          </w:tcPr>
          <w:p w:rsidR="00662386" w:rsidRDefault="00662386">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34</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662386" w:rsidTr="00662386">
        <w:trPr>
          <w:trHeight w:val="285"/>
        </w:trPr>
        <w:tc>
          <w:tcPr>
            <w:tcW w:w="0" w:type="auto"/>
            <w:tcBorders>
              <w:top w:val="nil"/>
              <w:left w:val="nil"/>
              <w:bottom w:val="nil"/>
              <w:right w:val="nil"/>
            </w:tcBorders>
            <w:shd w:val="clear" w:color="auto" w:fill="auto"/>
            <w:noWrap/>
            <w:vAlign w:val="center"/>
            <w:hideMark/>
          </w:tcPr>
          <w:p w:rsidR="00662386" w:rsidRDefault="00662386">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662386" w:rsidRDefault="00662386">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662386" w:rsidRDefault="0066238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r w:rsidR="00662386" w:rsidTr="00662386">
        <w:trPr>
          <w:trHeight w:val="270"/>
        </w:trPr>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662386" w:rsidRDefault="00662386">
            <w:pPr>
              <w:rPr>
                <w:rFonts w:ascii="Times New Roman" w:eastAsia="Times New Roman" w:hAnsi="Times New Roman" w:cs="Times New Roman"/>
                <w:sz w:val="20"/>
                <w:szCs w:val="20"/>
              </w:rPr>
            </w:pPr>
          </w:p>
        </w:tc>
      </w:tr>
    </w:tbl>
    <w:p w:rsidR="00004029" w:rsidRDefault="00004029">
      <w:bookmarkStart w:id="0" w:name="_GoBack"/>
      <w:bookmarkEnd w:id="0"/>
    </w:p>
    <w:sectPr w:rsidR="00004029" w:rsidSect="001A5024">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714C" w:rsidRDefault="003D714C" w:rsidP="001A1F15">
      <w:r>
        <w:separator/>
      </w:r>
    </w:p>
  </w:endnote>
  <w:endnote w:type="continuationSeparator" w:id="0">
    <w:p w:rsidR="003D714C" w:rsidRDefault="003D714C" w:rsidP="001A1F1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714C" w:rsidRDefault="003D714C" w:rsidP="001A1F15">
      <w:r>
        <w:separator/>
      </w:r>
    </w:p>
  </w:footnote>
  <w:footnote w:type="continuationSeparator" w:id="0">
    <w:p w:rsidR="003D714C" w:rsidRDefault="003D714C" w:rsidP="001A1F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1F15" w:rsidRPr="001A1F15" w:rsidRDefault="001A1F15" w:rsidP="001A1F15">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sidR="006745EB">
      <w:rPr>
        <w:rFonts w:ascii="宋体" w:hAnsi="宋体" w:hint="eastAsia"/>
      </w:rPr>
      <w:t>0164</w:t>
    </w:r>
  </w:p>
  <w:p w:rsidR="001A1F15" w:rsidRDefault="001A1F15">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614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62386"/>
    <w:rsid w:val="00004029"/>
    <w:rsid w:val="001A1F15"/>
    <w:rsid w:val="001A5024"/>
    <w:rsid w:val="003D714C"/>
    <w:rsid w:val="00662386"/>
    <w:rsid w:val="006745EB"/>
    <w:rsid w:val="00B623C2"/>
    <w:rsid w:val="00FD38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02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A1F1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A1F15"/>
    <w:rPr>
      <w:sz w:val="18"/>
      <w:szCs w:val="18"/>
    </w:rPr>
  </w:style>
  <w:style w:type="paragraph" w:styleId="a4">
    <w:name w:val="footer"/>
    <w:basedOn w:val="a"/>
    <w:link w:val="Char0"/>
    <w:uiPriority w:val="99"/>
    <w:semiHidden/>
    <w:unhideWhenUsed/>
    <w:rsid w:val="001A1F15"/>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A1F15"/>
    <w:rPr>
      <w:sz w:val="18"/>
      <w:szCs w:val="18"/>
    </w:rPr>
  </w:style>
  <w:style w:type="paragraph" w:styleId="a5">
    <w:name w:val="Balloon Text"/>
    <w:basedOn w:val="a"/>
    <w:link w:val="Char1"/>
    <w:uiPriority w:val="99"/>
    <w:semiHidden/>
    <w:unhideWhenUsed/>
    <w:rsid w:val="001A1F15"/>
    <w:rPr>
      <w:sz w:val="18"/>
      <w:szCs w:val="18"/>
    </w:rPr>
  </w:style>
  <w:style w:type="character" w:customStyle="1" w:styleId="Char1">
    <w:name w:val="批注框文本 Char"/>
    <w:basedOn w:val="a0"/>
    <w:link w:val="a5"/>
    <w:uiPriority w:val="99"/>
    <w:semiHidden/>
    <w:rsid w:val="001A1F15"/>
    <w:rPr>
      <w:sz w:val="18"/>
      <w:szCs w:val="18"/>
    </w:rPr>
  </w:style>
</w:styles>
</file>

<file path=word/webSettings.xml><?xml version="1.0" encoding="utf-8"?>
<w:webSettings xmlns:r="http://schemas.openxmlformats.org/officeDocument/2006/relationships" xmlns:w="http://schemas.openxmlformats.org/wordprocessingml/2006/main">
  <w:divs>
    <w:div w:id="180650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4739</Characters>
  <Application>Microsoft Office Word</Application>
  <DocSecurity>0</DocSecurity>
  <Lines>39</Lines>
  <Paragraphs>11</Paragraphs>
  <ScaleCrop>false</ScaleCrop>
  <Company>中国平安保险(集团)股份有限公司</Company>
  <LinksUpToDate>false</LinksUpToDate>
  <CharactersWithSpaces>5559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3</cp:revision>
  <dcterms:created xsi:type="dcterms:W3CDTF">2015-01-04T06:54:00Z</dcterms:created>
  <dcterms:modified xsi:type="dcterms:W3CDTF">2015-01-20T06:33:00Z</dcterms:modified>
</cp:coreProperties>
</file>