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C11F9B">
        <w:rPr>
          <w:rFonts w:ascii="宋体" w:hAnsi="宋体" w:hint="eastAsia"/>
          <w:b/>
          <w:color w:val="FF0000"/>
          <w:sz w:val="28"/>
          <w:szCs w:val="28"/>
          <w:u w:val="single"/>
        </w:rPr>
        <w:t>48</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DE05DB" w:rsidP="001D5548">
      <w:pPr>
        <w:rPr>
          <w:rStyle w:val="corporatetitle1"/>
          <w:rFonts w:ascii="仿宋_GB2312"/>
          <w:snapToGrid w:val="0"/>
          <w:color w:val="000000"/>
          <w:sz w:val="28"/>
          <w:szCs w:val="28"/>
        </w:rPr>
      </w:pPr>
      <w:r w:rsidRPr="00DE05DB">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C11F9B">
              <w:rPr>
                <w:rFonts w:ascii="宋体" w:eastAsia="宋体" w:hAnsi="宋体" w:hint="eastAsia"/>
                <w:b/>
                <w:bCs/>
                <w:color w:val="FF0000"/>
                <w:sz w:val="21"/>
                <w:szCs w:val="21"/>
                <w:u w:val="single"/>
              </w:rPr>
              <w:t>48</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C11F9B" w:rsidP="00781A04">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2</w:t>
            </w:r>
            <w:r w:rsidR="00781A04">
              <w:rPr>
                <w:rFonts w:ascii="宋体" w:eastAsia="宋体" w:hAnsi="宋体" w:hint="eastAsia"/>
                <w:b/>
                <w:bCs/>
                <w:color w:val="FF0000"/>
                <w:sz w:val="21"/>
                <w:szCs w:val="21"/>
              </w:rPr>
              <w:t>00</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C11F9B">
              <w:rPr>
                <w:rFonts w:ascii="宋体" w:eastAsia="宋体" w:hAnsi="宋体" w:hint="eastAsia"/>
                <w:b/>
                <w:noProof/>
                <w:color w:val="FF0000"/>
                <w:sz w:val="21"/>
                <w:szCs w:val="21"/>
              </w:rPr>
              <w:t>24</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781A04">
              <w:rPr>
                <w:rFonts w:ascii="宋体" w:eastAsia="宋体" w:hAnsi="宋体" w:hint="eastAsia"/>
                <w:b/>
                <w:noProof/>
                <w:color w:val="FF0000"/>
                <w:sz w:val="21"/>
                <w:szCs w:val="21"/>
              </w:rPr>
              <w:t>2</w:t>
            </w:r>
            <w:r w:rsidR="00C11F9B">
              <w:rPr>
                <w:rFonts w:ascii="宋体" w:eastAsia="宋体" w:hAnsi="宋体" w:hint="eastAsia"/>
                <w:b/>
                <w:noProof/>
                <w:color w:val="FF0000"/>
                <w:sz w:val="21"/>
                <w:szCs w:val="21"/>
              </w:rPr>
              <w:t>6</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C11F9B">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781A04">
              <w:rPr>
                <w:rFonts w:ascii="宋体" w:eastAsia="宋体" w:hAnsi="宋体" w:hint="eastAsia"/>
                <w:b/>
                <w:noProof/>
                <w:color w:val="FF0000"/>
                <w:sz w:val="21"/>
                <w:szCs w:val="21"/>
              </w:rPr>
              <w:t>2</w:t>
            </w:r>
            <w:r w:rsidR="00C11F9B">
              <w:rPr>
                <w:rFonts w:ascii="宋体" w:eastAsia="宋体" w:hAnsi="宋体" w:hint="eastAsia"/>
                <w:b/>
                <w:noProof/>
                <w:color w:val="FF0000"/>
                <w:sz w:val="21"/>
                <w:szCs w:val="21"/>
              </w:rPr>
              <w:t>7</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781A04">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C11F9B">
              <w:rPr>
                <w:rFonts w:ascii="宋体" w:eastAsia="宋体" w:hAnsi="宋体" w:hint="eastAsia"/>
                <w:b/>
                <w:noProof/>
                <w:color w:val="FF0000"/>
                <w:sz w:val="21"/>
                <w:szCs w:val="21"/>
              </w:rPr>
              <w:t>27</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C11F9B">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C11F9B">
              <w:rPr>
                <w:rFonts w:ascii="宋体" w:eastAsia="宋体" w:hAnsi="宋体" w:hint="eastAsia"/>
                <w:b/>
                <w:noProof/>
                <w:color w:val="FF0000"/>
                <w:sz w:val="21"/>
                <w:szCs w:val="21"/>
              </w:rPr>
              <w:t>7</w:t>
            </w:r>
            <w:r w:rsidR="00DE44C2" w:rsidRPr="00C97A3B">
              <w:rPr>
                <w:rFonts w:ascii="宋体" w:eastAsia="宋体" w:hAnsi="宋体"/>
                <w:b/>
                <w:noProof/>
                <w:color w:val="FF0000"/>
                <w:sz w:val="21"/>
                <w:szCs w:val="21"/>
              </w:rPr>
              <w:t>月</w:t>
            </w:r>
            <w:r w:rsidR="00C11F9B">
              <w:rPr>
                <w:rFonts w:ascii="宋体" w:eastAsia="宋体" w:hAnsi="宋体" w:hint="eastAsia"/>
                <w:b/>
                <w:noProof/>
                <w:color w:val="FF0000"/>
                <w:sz w:val="21"/>
                <w:szCs w:val="21"/>
              </w:rPr>
              <w:t>15</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C11F9B">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C11F9B">
              <w:rPr>
                <w:rFonts w:ascii="宋体" w:eastAsia="宋体" w:hAnsi="宋体" w:hint="eastAsia"/>
                <w:b/>
                <w:color w:val="FF0000"/>
                <w:sz w:val="21"/>
                <w:szCs w:val="21"/>
              </w:rPr>
              <w:t>50</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C11F9B">
        <w:rPr>
          <w:rFonts w:ascii="宋体" w:hAnsi="宋体" w:cs="Times New Roman" w:hint="eastAsia"/>
          <w:b/>
          <w:color w:val="FF0000"/>
        </w:rPr>
        <w:t>50%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C11F9B">
        <w:rPr>
          <w:rFonts w:ascii="宋体" w:hAnsi="宋体" w:cs="Times New Roman" w:hint="eastAsia"/>
          <w:b/>
          <w:color w:val="FF0000"/>
        </w:rPr>
        <w:t>50</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C11F9B">
        <w:rPr>
          <w:rFonts w:ascii="宋体" w:hAnsi="宋体" w:cs="Times New Roman" w:hint="eastAsia"/>
          <w:b/>
          <w:color w:val="FF0000"/>
        </w:rPr>
        <w:t>2</w:t>
      </w:r>
      <w:r w:rsidR="00781A04">
        <w:rPr>
          <w:rFonts w:ascii="宋体" w:hAnsi="宋体" w:cs="Times New Roman" w:hint="eastAsia"/>
          <w:b/>
          <w:color w:val="FF0000"/>
        </w:rPr>
        <w:t>00</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C11F9B">
        <w:rPr>
          <w:rFonts w:ascii="宋体" w:hAnsi="宋体" w:cs="Times New Roman" w:hint="eastAsia"/>
          <w:b/>
          <w:color w:val="FF0000"/>
        </w:rPr>
        <w:t>50</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C11F9B">
        <w:rPr>
          <w:rFonts w:ascii="宋体" w:hAnsi="宋体" w:cs="Times New Roman" w:hint="eastAsia"/>
          <w:b/>
          <w:color w:val="FF0000"/>
        </w:rPr>
        <w:t>50</w:t>
      </w:r>
      <w:r w:rsidR="006C78C8">
        <w:rPr>
          <w:rFonts w:ascii="宋体" w:hAnsi="宋体" w:cs="Times New Roman" w:hint="eastAsia"/>
          <w:b/>
          <w:color w:val="FF0000"/>
        </w:rPr>
        <w:t>%</w:t>
      </w:r>
      <w:r w:rsidR="00DE05DB"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DE05DB" w:rsidRPr="006D21FF">
        <w:rPr>
          <w:rFonts w:ascii="宋体" w:hAnsi="宋体" w:cs="Times New Roman"/>
          <w:b/>
          <w:color w:val="FF0000"/>
        </w:rPr>
        <w:fldChar w:fldCharType="end"/>
      </w:r>
      <w:r w:rsidRPr="006D21FF">
        <w:rPr>
          <w:rFonts w:ascii="宋体" w:hAnsi="宋体" w:cs="Times New Roman"/>
          <w:b/>
          <w:color w:val="FF0000"/>
        </w:rPr>
        <w:t>×</w:t>
      </w:r>
      <w:r w:rsidR="00C11F9B">
        <w:rPr>
          <w:rFonts w:ascii="宋体" w:hAnsi="宋体" w:cs="Times New Roman" w:hint="eastAsia"/>
          <w:b/>
          <w:color w:val="FF0000"/>
        </w:rPr>
        <w:t>2</w:t>
      </w:r>
      <w:r w:rsidR="00781A04">
        <w:rPr>
          <w:rFonts w:ascii="宋体" w:hAnsi="宋体" w:cs="Times New Roman" w:hint="eastAsia"/>
          <w:b/>
          <w:color w:val="FF0000"/>
        </w:rPr>
        <w:t>00</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C11F9B">
        <w:rPr>
          <w:rFonts w:ascii="宋体" w:hAnsi="宋体" w:cs="Times New Roman" w:hint="eastAsia"/>
          <w:b/>
          <w:color w:val="FF0000"/>
        </w:rPr>
        <w:t>35,616.44</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C11F9B">
        <w:rPr>
          <w:rFonts w:ascii="宋体" w:hAnsi="宋体" w:cs="Times New Roman" w:hint="eastAsia"/>
          <w:b/>
          <w:color w:val="FF0000"/>
        </w:rPr>
        <w:t>50</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w:t>
      </w:r>
      <w:r w:rsidR="00C11F9B">
        <w:rPr>
          <w:rFonts w:ascii="宋体" w:hAnsi="宋体" w:cs="Times New Roman" w:hint="eastAsia"/>
          <w:b/>
          <w:color w:val="FF0000"/>
          <w:u w:val="single"/>
        </w:rPr>
        <w:t>8</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C11F9B">
        <w:rPr>
          <w:rFonts w:ascii="宋体" w:hAnsi="宋体" w:cs="Times New Roman" w:hint="eastAsia"/>
          <w:b/>
          <w:color w:val="FF0000"/>
          <w:u w:val="single"/>
        </w:rPr>
        <w:t>48</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Pr="00412FF9"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3A6" w:rsidRDefault="00D923A6" w:rsidP="004B657F">
      <w:r>
        <w:separator/>
      </w:r>
    </w:p>
  </w:endnote>
  <w:endnote w:type="continuationSeparator" w:id="0">
    <w:p w:rsidR="00D923A6" w:rsidRDefault="00D923A6"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DE05D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DE05D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C11F9B">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DE05D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DE05D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3A6" w:rsidRDefault="00D923A6" w:rsidP="004B657F">
      <w:r>
        <w:separator/>
      </w:r>
    </w:p>
  </w:footnote>
  <w:footnote w:type="continuationSeparator" w:id="0">
    <w:p w:rsidR="00D923A6" w:rsidRDefault="00D923A6"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59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4E98"/>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2FF9"/>
    <w:rsid w:val="00413139"/>
    <w:rsid w:val="00415EE5"/>
    <w:rsid w:val="00416DA8"/>
    <w:rsid w:val="004212F9"/>
    <w:rsid w:val="0042708A"/>
    <w:rsid w:val="0042736B"/>
    <w:rsid w:val="004322A4"/>
    <w:rsid w:val="004335A7"/>
    <w:rsid w:val="00433A7B"/>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290"/>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1A04"/>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724"/>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5955"/>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34D51"/>
    <w:rsid w:val="00A4167D"/>
    <w:rsid w:val="00A42E4C"/>
    <w:rsid w:val="00A45BDA"/>
    <w:rsid w:val="00A47180"/>
    <w:rsid w:val="00A51D0A"/>
    <w:rsid w:val="00A528D8"/>
    <w:rsid w:val="00A5404C"/>
    <w:rsid w:val="00A569F5"/>
    <w:rsid w:val="00A56F86"/>
    <w:rsid w:val="00A57C38"/>
    <w:rsid w:val="00A61E62"/>
    <w:rsid w:val="00A6363B"/>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1F9B"/>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23A6"/>
    <w:rsid w:val="00D950A8"/>
    <w:rsid w:val="00D97318"/>
    <w:rsid w:val="00D97889"/>
    <w:rsid w:val="00DA3F7D"/>
    <w:rsid w:val="00DA580A"/>
    <w:rsid w:val="00DB1FC5"/>
    <w:rsid w:val="00DB384E"/>
    <w:rsid w:val="00DB642E"/>
    <w:rsid w:val="00DB7E21"/>
    <w:rsid w:val="00DD05A6"/>
    <w:rsid w:val="00DD0EE9"/>
    <w:rsid w:val="00DD79FA"/>
    <w:rsid w:val="00DE05DB"/>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92</TotalTime>
  <Pages>1</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39</cp:revision>
  <cp:lastPrinted>2010-07-27T08:59:00Z</cp:lastPrinted>
  <dcterms:created xsi:type="dcterms:W3CDTF">2013-10-21T07:55:00Z</dcterms:created>
  <dcterms:modified xsi:type="dcterms:W3CDTF">2013-12-23T06:07:00Z</dcterms:modified>
</cp:coreProperties>
</file>