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1110" w:rsidP="0080590A">
      <w:pPr>
        <w:pStyle w:val="a9"/>
        <w:spacing w:line="540" w:lineRule="exact"/>
        <w:jc w:val="center"/>
        <w:rPr>
          <w:rFonts w:ascii="宋体" w:hAnsi="宋体"/>
          <w:b/>
          <w:sz w:val="32"/>
          <w:szCs w:val="32"/>
        </w:rPr>
      </w:pPr>
      <w:r>
        <w:rPr>
          <w:rFonts w:ascii="宋体" w:hAnsi="宋体" w:hint="eastAsia"/>
          <w:b/>
          <w:sz w:val="32"/>
          <w:szCs w:val="32"/>
        </w:rPr>
        <w:t xml:space="preserve"> </w:t>
      </w:r>
      <w:r w:rsidR="002050AC">
        <w:rPr>
          <w:rFonts w:ascii="宋体" w:hAnsi="宋体" w:hint="eastAsia"/>
          <w:b/>
          <w:sz w:val="32"/>
          <w:szCs w:val="32"/>
        </w:rPr>
        <w:t>平安财富</w:t>
      </w:r>
      <w:r w:rsidR="002050AC">
        <w:rPr>
          <w:rFonts w:ascii="宋体" w:hAnsi="宋体" w:hint="eastAsia"/>
          <w:b/>
          <w:sz w:val="32"/>
          <w:szCs w:val="32"/>
        </w:rPr>
        <w:t>-</w:t>
      </w:r>
      <w:r w:rsidR="002050AC">
        <w:rPr>
          <w:rFonts w:ascii="宋体" w:hAnsi="宋体" w:hint="eastAsia"/>
          <w:b/>
          <w:sz w:val="32"/>
          <w:szCs w:val="32"/>
        </w:rPr>
        <w:t>结构类（</w:t>
      </w:r>
      <w:r w:rsidR="002050AC">
        <w:rPr>
          <w:rFonts w:ascii="宋体" w:hAnsi="宋体" w:hint="eastAsia"/>
          <w:b/>
          <w:sz w:val="32"/>
          <w:szCs w:val="32"/>
        </w:rPr>
        <w:t>100%</w:t>
      </w:r>
      <w:r w:rsidR="002050AC">
        <w:rPr>
          <w:rFonts w:ascii="宋体" w:hAnsi="宋体" w:hint="eastAsia"/>
          <w:b/>
          <w:sz w:val="32"/>
          <w:szCs w:val="32"/>
        </w:rPr>
        <w:t>保本挂钩</w:t>
      </w:r>
      <w:r w:rsidR="002050AC">
        <w:rPr>
          <w:rFonts w:ascii="宋体" w:hAnsi="宋体" w:hint="eastAsia"/>
          <w:b/>
          <w:sz w:val="32"/>
          <w:szCs w:val="32"/>
        </w:rPr>
        <w:t>ETF</w:t>
      </w:r>
      <w:r w:rsidR="002050AC">
        <w:rPr>
          <w:rFonts w:ascii="宋体" w:hAnsi="宋体" w:hint="eastAsia"/>
          <w:b/>
          <w:sz w:val="32"/>
          <w:szCs w:val="32"/>
        </w:rPr>
        <w:t>）资产管理类</w:t>
      </w:r>
      <w:r w:rsidR="002050AC">
        <w:rPr>
          <w:rFonts w:ascii="宋体" w:hAnsi="宋体" w:hint="eastAsia"/>
          <w:b/>
          <w:sz w:val="32"/>
          <w:szCs w:val="32"/>
        </w:rPr>
        <w:t>2013</w:t>
      </w:r>
      <w:r w:rsidR="002050AC">
        <w:rPr>
          <w:rFonts w:ascii="宋体" w:hAnsi="宋体" w:hint="eastAsia"/>
          <w:b/>
          <w:sz w:val="32"/>
          <w:szCs w:val="32"/>
        </w:rPr>
        <w:t>年</w:t>
      </w:r>
      <w:r w:rsidR="002050AC">
        <w:rPr>
          <w:rFonts w:ascii="宋体" w:hAnsi="宋体" w:hint="eastAsia"/>
          <w:b/>
          <w:sz w:val="32"/>
          <w:szCs w:val="32"/>
        </w:rPr>
        <w:t>132</w:t>
      </w:r>
      <w:r w:rsidR="002050AC">
        <w:rPr>
          <w:rFonts w:ascii="宋体" w:hAnsi="宋体" w:hint="eastAsia"/>
          <w:b/>
          <w:sz w:val="32"/>
          <w:szCs w:val="32"/>
        </w:rPr>
        <w:t>期人民币理财产品</w:t>
      </w:r>
      <w:r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144749">
        <w:rPr>
          <w:rFonts w:ascii="宋体" w:hAnsi="宋体" w:hint="eastAsia"/>
          <w:b/>
          <w:sz w:val="32"/>
          <w:szCs w:val="32"/>
          <w:highlight w:val="yellow"/>
        </w:rPr>
        <w:t>ALG</w:t>
      </w:r>
      <w:r w:rsidR="00144749" w:rsidRPr="00216D7E">
        <w:rPr>
          <w:rFonts w:ascii="宋体" w:hAnsi="宋体" w:hint="eastAsia"/>
          <w:b/>
          <w:sz w:val="32"/>
          <w:szCs w:val="32"/>
          <w:highlight w:val="yellow"/>
        </w:rPr>
        <w:t>13</w:t>
      </w:r>
      <w:r w:rsidR="00593625" w:rsidRPr="00216D7E">
        <w:rPr>
          <w:rFonts w:ascii="宋体" w:hAnsi="宋体" w:hint="eastAsia"/>
          <w:b/>
          <w:sz w:val="32"/>
          <w:szCs w:val="32"/>
          <w:highlight w:val="yellow"/>
        </w:rPr>
        <w:t>0</w:t>
      </w:r>
      <w:r w:rsidR="00144749" w:rsidRPr="00216D7E">
        <w:rPr>
          <w:rFonts w:ascii="宋体" w:hAnsi="宋体" w:hint="eastAsia"/>
          <w:b/>
          <w:sz w:val="32"/>
          <w:szCs w:val="32"/>
          <w:highlight w:val="yellow"/>
        </w:rPr>
        <w:t>1</w:t>
      </w:r>
      <w:r w:rsidR="00A6390D" w:rsidRPr="00216D7E">
        <w:rPr>
          <w:rFonts w:ascii="宋体" w:hAnsi="宋体" w:hint="eastAsia"/>
          <w:b/>
          <w:sz w:val="32"/>
          <w:szCs w:val="32"/>
          <w:highlight w:val="yellow"/>
        </w:rPr>
        <w:t>32</w:t>
      </w:r>
      <w:r w:rsidR="003D21B8" w:rsidRPr="00216D7E">
        <w:rPr>
          <w:rFonts w:ascii="宋体" w:hAnsi="宋体" w:hint="eastAsia"/>
          <w:b/>
          <w:sz w:val="32"/>
          <w:szCs w:val="32"/>
          <w:highlight w:val="yellow"/>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D97BC6" w:rsidP="001D5548">
      <w:pPr>
        <w:rPr>
          <w:rStyle w:val="corporatetitle1"/>
          <w:rFonts w:ascii="仿宋_GB2312"/>
          <w:snapToGrid w:val="0"/>
          <w:color w:val="000000"/>
          <w:sz w:val="28"/>
          <w:szCs w:val="28"/>
        </w:rPr>
      </w:pPr>
      <w:r w:rsidRPr="00D97BC6">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2050AC" w:rsidP="00A6390D">
            <w:pPr>
              <w:rPr>
                <w:rFonts w:ascii="宋体" w:eastAsia="宋体" w:hAnsi="宋体"/>
                <w:b/>
                <w:bCs/>
                <w:sz w:val="21"/>
                <w:szCs w:val="21"/>
              </w:rPr>
            </w:pPr>
            <w:r>
              <w:rPr>
                <w:rFonts w:ascii="宋体" w:eastAsia="宋体" w:hAnsi="宋体" w:hint="eastAsia"/>
                <w:snapToGrid w:val="0"/>
                <w:sz w:val="21"/>
                <w:szCs w:val="21"/>
              </w:rPr>
              <w:t>平安财富-结构类（100%保本挂钩ETF）资产管理类2013年132期人民币理财产品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8B1C6A" w:rsidP="008B1C6A">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B1C6A">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B1C6A">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337EF" w:rsidP="00A6390D">
            <w:pPr>
              <w:jc w:val="left"/>
              <w:rPr>
                <w:rFonts w:ascii="宋体" w:eastAsia="宋体" w:hAnsi="宋体" w:cs="宋体"/>
                <w:sz w:val="21"/>
                <w:szCs w:val="21"/>
              </w:rPr>
            </w:pPr>
            <w:r>
              <w:rPr>
                <w:rFonts w:ascii="宋体" w:eastAsia="宋体" w:hAnsi="宋体" w:hint="eastAsia"/>
                <w:bCs/>
                <w:sz w:val="21"/>
                <w:szCs w:val="21"/>
                <w:highlight w:val="yellow"/>
              </w:rPr>
              <w:t>18</w:t>
            </w:r>
            <w:r w:rsidR="00A6390D">
              <w:rPr>
                <w:rFonts w:ascii="宋体" w:eastAsia="宋体" w:hAnsi="宋体" w:hint="eastAsia"/>
                <w:bCs/>
                <w:sz w:val="21"/>
                <w:szCs w:val="21"/>
                <w:highlight w:val="yellow"/>
              </w:rPr>
              <w:t>1</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2E77C2" w:rsidP="008B1C6A">
            <w:pPr>
              <w:rPr>
                <w:rFonts w:ascii="宋体" w:eastAsia="宋体" w:hAnsi="宋体" w:cs="宋体"/>
                <w:sz w:val="21"/>
                <w:szCs w:val="21"/>
              </w:rPr>
            </w:pPr>
            <w:r w:rsidRPr="00A2005D">
              <w:rPr>
                <w:rFonts w:ascii="宋体" w:eastAsia="宋体" w:hAnsi="宋体" w:hint="eastAsia"/>
                <w:bCs/>
                <w:sz w:val="21"/>
                <w:szCs w:val="21"/>
              </w:rPr>
              <w:t xml:space="preserve"> </w:t>
            </w:r>
            <w:r w:rsidR="008B1C6A">
              <w:rPr>
                <w:rFonts w:ascii="宋体" w:eastAsia="宋体" w:hAnsi="宋体" w:hint="eastAsia"/>
                <w:bCs/>
                <w:sz w:val="21"/>
                <w:szCs w:val="21"/>
                <w:highlight w:val="yellow"/>
              </w:rPr>
              <w:t>2</w:t>
            </w:r>
            <w:r w:rsidR="001266FE" w:rsidRPr="00FD39F7">
              <w:rPr>
                <w:rFonts w:ascii="宋体" w:eastAsia="宋体" w:hAnsi="宋体" w:hint="eastAsia"/>
                <w:noProof/>
                <w:sz w:val="21"/>
                <w:szCs w:val="21"/>
                <w:highlight w:val="yellow"/>
              </w:rPr>
              <w:t>亿</w:t>
            </w:r>
            <w:r w:rsidR="001266FE" w:rsidRPr="00FD39F7">
              <w:rPr>
                <w:rFonts w:ascii="宋体" w:eastAsia="宋体" w:hAnsi="宋体" w:hint="eastAsia"/>
                <w:sz w:val="21"/>
                <w:szCs w:val="21"/>
                <w:highlight w:val="yellow"/>
              </w:rPr>
              <w:t>元</w:t>
            </w:r>
            <w:r w:rsidR="001266FE" w:rsidRPr="00A2005D">
              <w:rPr>
                <w:rFonts w:ascii="宋体" w:eastAsia="宋体" w:hAnsi="宋体" w:hint="eastAsia"/>
                <w:sz w:val="21"/>
                <w:szCs w:val="21"/>
              </w:rPr>
              <w:t>，</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445144">
              <w:rPr>
                <w:rFonts w:ascii="宋体" w:eastAsia="宋体" w:hAnsi="宋体" w:hint="eastAsia"/>
                <w:noProof/>
                <w:sz w:val="21"/>
                <w:szCs w:val="21"/>
                <w:highlight w:val="yellow"/>
              </w:rPr>
              <w:t>1</w:t>
            </w:r>
            <w:r w:rsidR="00A6390D">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144749">
              <w:rPr>
                <w:rFonts w:ascii="宋体" w:eastAsia="宋体" w:hAnsi="宋体" w:hint="eastAsia"/>
                <w:noProof/>
                <w:sz w:val="21"/>
                <w:szCs w:val="21"/>
                <w:highlight w:val="yellow"/>
              </w:rPr>
              <w:t>2</w:t>
            </w:r>
            <w:r w:rsidR="00A6390D">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445144">
              <w:rPr>
                <w:rFonts w:ascii="宋体" w:eastAsia="宋体" w:hAnsi="宋体" w:hint="eastAsia"/>
                <w:noProof/>
                <w:sz w:val="21"/>
                <w:szCs w:val="21"/>
                <w:highlight w:val="yellow"/>
              </w:rPr>
              <w:t>1</w:t>
            </w:r>
            <w:r w:rsidR="00144749">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A6390D">
              <w:rPr>
                <w:rFonts w:ascii="宋体" w:eastAsia="宋体" w:hAnsi="宋体" w:hint="eastAsia"/>
                <w:noProof/>
                <w:sz w:val="21"/>
                <w:szCs w:val="21"/>
                <w:highlight w:val="yellow"/>
              </w:rPr>
              <w:t>26</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A6390D">
            <w:pPr>
              <w:rPr>
                <w:rFonts w:ascii="宋体" w:eastAsia="宋体" w:hAnsi="宋体"/>
                <w:sz w:val="21"/>
                <w:szCs w:val="21"/>
              </w:rPr>
            </w:pPr>
            <w:r>
              <w:rPr>
                <w:rFonts w:ascii="宋体" w:eastAsia="宋体" w:hAnsi="宋体" w:hint="eastAsia"/>
                <w:bCs/>
                <w:sz w:val="21"/>
                <w:szCs w:val="21"/>
                <w:highlight w:val="yellow"/>
              </w:rPr>
              <w:t>2013年</w:t>
            </w:r>
            <w:r w:rsidR="00445144">
              <w:rPr>
                <w:rFonts w:ascii="宋体" w:eastAsia="宋体" w:hAnsi="宋体" w:hint="eastAsia"/>
                <w:noProof/>
                <w:sz w:val="21"/>
                <w:szCs w:val="21"/>
                <w:highlight w:val="yellow"/>
              </w:rPr>
              <w:t>1</w:t>
            </w:r>
            <w:r w:rsidR="00144749">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A6390D">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445144">
              <w:rPr>
                <w:rFonts w:ascii="宋体" w:eastAsia="宋体" w:hAnsi="宋体" w:hint="eastAsia"/>
                <w:noProof/>
                <w:sz w:val="21"/>
                <w:szCs w:val="21"/>
                <w:highlight w:val="yellow"/>
              </w:rPr>
              <w:t>1</w:t>
            </w:r>
            <w:r w:rsidR="00144749">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A6390D">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144749">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A6390D">
              <w:rPr>
                <w:rFonts w:ascii="宋体" w:eastAsia="宋体" w:hAnsi="宋体" w:hint="eastAsia"/>
                <w:noProof/>
                <w:sz w:val="21"/>
                <w:szCs w:val="21"/>
                <w:highlight w:val="yellow"/>
              </w:rPr>
              <w:t>27</w:t>
            </w:r>
            <w:r w:rsidR="00DE44C2" w:rsidRPr="009636F5">
              <w:rPr>
                <w:rFonts w:ascii="宋体" w:eastAsia="宋体" w:hAnsi="宋体"/>
                <w:noProof/>
                <w:sz w:val="21"/>
                <w:szCs w:val="21"/>
                <w:highlight w:val="yellow"/>
              </w:rPr>
              <w:t>日</w:t>
            </w:r>
            <w:r w:rsidR="0000500A" w:rsidRPr="0000500A">
              <w:rPr>
                <w:rFonts w:ascii="宋体" w:eastAsia="宋体" w:hAnsi="宋体" w:hint="eastAsia"/>
                <w:noProof/>
                <w:sz w:val="21"/>
                <w:szCs w:val="21"/>
              </w:rPr>
              <w:t>或银行根据合同约定决定的其他日期</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D216B2" w:rsidP="00EC446D">
            <w:pPr>
              <w:jc w:val="center"/>
              <w:rPr>
                <w:rFonts w:ascii="宋体" w:eastAsia="宋体" w:hAnsi="宋体"/>
                <w:sz w:val="21"/>
                <w:szCs w:val="21"/>
              </w:rPr>
            </w:pPr>
            <w:r>
              <w:rPr>
                <w:rFonts w:ascii="宋体" w:eastAsia="宋体" w:hAnsi="宋体" w:hint="eastAsia"/>
                <w:sz w:val="21"/>
                <w:szCs w:val="21"/>
              </w:rPr>
              <w:t>本金及理财收益</w:t>
            </w:r>
          </w:p>
        </w:tc>
        <w:tc>
          <w:tcPr>
            <w:tcW w:w="7200" w:type="dxa"/>
            <w:shd w:val="clear" w:color="auto" w:fill="auto"/>
            <w:tcMar>
              <w:top w:w="15" w:type="dxa"/>
              <w:left w:w="15" w:type="dxa"/>
              <w:bottom w:w="0" w:type="dxa"/>
              <w:right w:w="15" w:type="dxa"/>
            </w:tcMar>
            <w:vAlign w:val="center"/>
          </w:tcPr>
          <w:p w:rsidR="001266FE" w:rsidRPr="000D2FD8" w:rsidRDefault="00D216B2" w:rsidP="00445144">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如本理财产品成立且投资者持有该理财计划直至到期，则平安银行向投资者提供本金完全保障，并根据本产品相关说明书的约定，按照挂钩标的的价格表现，向投资者支付浮动理财收益</w:t>
            </w:r>
            <w:r w:rsidRPr="00E962BC">
              <w:rPr>
                <w:rFonts w:ascii="宋体" w:eastAsia="宋体" w:hAnsi="宋体" w:hint="eastAsia"/>
                <w:color w:val="000000"/>
                <w:sz w:val="21"/>
                <w:szCs w:val="21"/>
                <w:highlight w:val="yellow"/>
              </w:rPr>
              <w:t>0.50%（年化）</w:t>
            </w:r>
            <w:r>
              <w:rPr>
                <w:rFonts w:ascii="宋体" w:eastAsia="宋体" w:hAnsi="宋体" w:hint="eastAsia"/>
                <w:color w:val="000000"/>
                <w:sz w:val="21"/>
                <w:szCs w:val="21"/>
              </w:rPr>
              <w:t>或</w:t>
            </w:r>
            <w:r w:rsidR="0021533F">
              <w:rPr>
                <w:rFonts w:ascii="宋体" w:eastAsia="宋体" w:hAnsi="宋体" w:hint="eastAsia"/>
                <w:color w:val="000000"/>
                <w:sz w:val="21"/>
                <w:szCs w:val="21"/>
                <w:highlight w:val="yellow"/>
              </w:rPr>
              <w:t>2.80</w:t>
            </w:r>
            <w:r w:rsidRPr="00E962BC">
              <w:rPr>
                <w:rFonts w:ascii="宋体" w:eastAsia="宋体" w:hAnsi="宋体" w:hint="eastAsia"/>
                <w:color w:val="000000"/>
                <w:sz w:val="21"/>
                <w:szCs w:val="21"/>
                <w:highlight w:val="yellow"/>
              </w:rPr>
              <w:t>%（年化）</w:t>
            </w:r>
            <w:r w:rsidR="0021533F">
              <w:rPr>
                <w:rFonts w:ascii="宋体" w:eastAsia="宋体" w:hAnsi="宋体" w:hint="eastAsia"/>
                <w:color w:val="000000"/>
                <w:sz w:val="21"/>
                <w:szCs w:val="21"/>
              </w:rPr>
              <w:t>或</w:t>
            </w:r>
            <w:r w:rsidR="00445144">
              <w:rPr>
                <w:rFonts w:ascii="宋体" w:eastAsia="宋体" w:hAnsi="宋体" w:hint="eastAsia"/>
                <w:color w:val="000000"/>
                <w:sz w:val="21"/>
                <w:szCs w:val="21"/>
                <w:highlight w:val="yellow"/>
              </w:rPr>
              <w:t>6.0</w:t>
            </w:r>
            <w:r w:rsidR="0021533F" w:rsidRPr="0021533F">
              <w:rPr>
                <w:rFonts w:ascii="宋体" w:eastAsia="宋体" w:hAnsi="宋体" w:hint="eastAsia"/>
                <w:color w:val="000000"/>
                <w:sz w:val="21"/>
                <w:szCs w:val="21"/>
                <w:highlight w:val="yellow"/>
              </w:rPr>
              <w:t>0%</w:t>
            </w:r>
            <w:r w:rsidR="0021533F">
              <w:rPr>
                <w:rFonts w:ascii="宋体" w:eastAsia="宋体" w:hAnsi="宋体" w:hint="eastAsia"/>
                <w:color w:val="000000"/>
                <w:sz w:val="21"/>
                <w:szCs w:val="21"/>
              </w:rPr>
              <w:t>（年化）</w:t>
            </w:r>
            <w:r>
              <w:rPr>
                <w:rFonts w:ascii="宋体" w:eastAsia="宋体" w:hAnsi="宋体" w:hint="eastAsia"/>
                <w:color w:val="00000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2050AC"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平安财富-结构类（100%保本挂钩ETF）资产管理类2013年132期人民币理财产品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3E75AC">
        <w:rPr>
          <w:rFonts w:ascii="宋体" w:eastAsia="宋体" w:hAnsi="宋体" w:hint="eastAsia"/>
          <w:sz w:val="21"/>
          <w:szCs w:val="21"/>
        </w:rPr>
        <w:t>ETF</w:t>
      </w:r>
      <w:r w:rsidR="00F5798C" w:rsidRPr="005E4FA4">
        <w:rPr>
          <w:rFonts w:ascii="宋体" w:eastAsia="宋体" w:hAnsi="宋体" w:hint="eastAsia"/>
          <w:sz w:val="21"/>
          <w:szCs w:val="21"/>
        </w:rPr>
        <w:t>衍生产品市场。</w:t>
      </w:r>
    </w:p>
    <w:p w:rsidR="00593625" w:rsidRPr="00276096" w:rsidRDefault="002050AC" w:rsidP="00A65F87">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平安财富-结构类（100%保本挂钩ETF）资产管理类2013年132期人民币理财产品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0337EF">
        <w:rPr>
          <w:rFonts w:ascii="宋体" w:eastAsia="宋体" w:hAnsi="宋体" w:hint="eastAsia"/>
          <w:sz w:val="21"/>
          <w:szCs w:val="21"/>
        </w:rPr>
        <w:t>盈富基金的</w:t>
      </w:r>
      <w:r w:rsidR="00F87A1F" w:rsidRPr="00276096">
        <w:rPr>
          <w:rFonts w:ascii="宋体" w:eastAsia="宋体" w:hAnsi="宋体" w:hint="eastAsia"/>
          <w:sz w:val="21"/>
          <w:szCs w:val="21"/>
        </w:rPr>
        <w:t>表现挂钩：</w:t>
      </w: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950"/>
        <w:gridCol w:w="2268"/>
        <w:gridCol w:w="1524"/>
      </w:tblGrid>
      <w:tr w:rsidR="00F87A1F" w:rsidRPr="000D2FD8" w:rsidTr="000337EF">
        <w:trPr>
          <w:cantSplit/>
          <w:trHeight w:val="278"/>
        </w:trPr>
        <w:tc>
          <w:tcPr>
            <w:tcW w:w="2227" w:type="dxa"/>
            <w:vAlign w:val="center"/>
          </w:tcPr>
          <w:p w:rsidR="00F87A1F" w:rsidRPr="000D2FD8" w:rsidRDefault="000337E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基金</w:t>
            </w:r>
          </w:p>
        </w:tc>
        <w:tc>
          <w:tcPr>
            <w:tcW w:w="1950"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2268" w:type="dxa"/>
            <w:vAlign w:val="center"/>
          </w:tcPr>
          <w:p w:rsidR="00F87A1F" w:rsidRPr="000D2FD8" w:rsidRDefault="000337E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基金价格</w:t>
            </w:r>
            <w:r w:rsidR="00F87A1F" w:rsidRPr="000D2FD8">
              <w:rPr>
                <w:rFonts w:ascii="宋体" w:eastAsia="宋体" w:hAnsi="宋体" w:hint="eastAsia"/>
                <w:snapToGrid w:val="0"/>
                <w:color w:val="000000"/>
                <w:sz w:val="21"/>
                <w:szCs w:val="21"/>
              </w:rPr>
              <w:t>币种</w:t>
            </w:r>
          </w:p>
        </w:tc>
        <w:tc>
          <w:tcPr>
            <w:tcW w:w="152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D42D88">
        <w:trPr>
          <w:trHeight w:val="466"/>
        </w:trPr>
        <w:tc>
          <w:tcPr>
            <w:tcW w:w="2227" w:type="dxa"/>
            <w:vAlign w:val="center"/>
          </w:tcPr>
          <w:p w:rsidR="00593625" w:rsidRPr="00593625" w:rsidRDefault="000337EF" w:rsidP="009B40A3">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盈富基金</w:t>
            </w:r>
          </w:p>
        </w:tc>
        <w:tc>
          <w:tcPr>
            <w:tcW w:w="1950"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2268"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524" w:type="dxa"/>
            <w:vAlign w:val="center"/>
          </w:tcPr>
          <w:p w:rsidR="00593625" w:rsidRPr="00593625" w:rsidRDefault="000337EF"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bl>
    <w:p w:rsidR="000337EF" w:rsidRDefault="000337E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盈富基金（TraHK）是一只在香港注册的ETF。该基金旨在提供与恒生指数表现密切对应的投</w:t>
      </w:r>
      <w:r>
        <w:rPr>
          <w:rFonts w:ascii="宋体" w:eastAsia="宋体" w:hAnsi="宋体" w:hint="eastAsia"/>
          <w:snapToGrid w:val="0"/>
          <w:color w:val="000000"/>
          <w:sz w:val="21"/>
          <w:szCs w:val="21"/>
        </w:rPr>
        <w:lastRenderedPageBreak/>
        <w:t>资回报，通过把全部或绝大部分基金资产按照与恒生指数成分股权中大致相同的比例投资于指数内股票。</w:t>
      </w:r>
    </w:p>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w:t>
      </w:r>
      <w:r w:rsidR="000337EF">
        <w:rPr>
          <w:rFonts w:ascii="宋体" w:eastAsia="宋体" w:hAnsi="宋体" w:hint="eastAsia"/>
          <w:snapToGrid w:val="0"/>
          <w:color w:val="000000"/>
          <w:sz w:val="21"/>
          <w:szCs w:val="21"/>
        </w:rPr>
        <w:t>ETF</w:t>
      </w:r>
      <w:r w:rsidRPr="000D2FD8">
        <w:rPr>
          <w:rFonts w:ascii="宋体" w:eastAsia="宋体" w:hAnsi="宋体" w:hint="eastAsia"/>
          <w:snapToGrid w:val="0"/>
          <w:color w:val="000000"/>
          <w:sz w:val="21"/>
          <w:szCs w:val="21"/>
        </w:rPr>
        <w:t>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8B1C6A" w:rsidRPr="000D2FD8" w:rsidRDefault="008B1C6A" w:rsidP="008B1C6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0337EF">
        <w:rPr>
          <w:rFonts w:ascii="宋体" w:eastAsia="宋体" w:hAnsi="宋体" w:hint="eastAsia"/>
          <w:snapToGrid w:val="0"/>
          <w:color w:val="000000"/>
          <w:sz w:val="21"/>
          <w:szCs w:val="21"/>
        </w:rPr>
        <w:t>ETF</w:t>
      </w:r>
      <w:r w:rsidRPr="000D2FD8">
        <w:rPr>
          <w:rFonts w:ascii="宋体" w:eastAsia="宋体" w:hAnsi="宋体" w:hint="eastAsia"/>
          <w:snapToGrid w:val="0"/>
          <w:color w:val="000000"/>
          <w:sz w:val="21"/>
          <w:szCs w:val="21"/>
        </w:rPr>
        <w:t>价格观察等条款的约定</w:t>
      </w:r>
    </w:p>
    <w:p w:rsidR="00EA12E1" w:rsidRDefault="008B1C6A" w:rsidP="008B1C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w:t>
      </w:r>
      <w:r w:rsidR="00EA12E1">
        <w:rPr>
          <w:rFonts w:ascii="宋体" w:eastAsia="宋体" w:hAnsi="宋体" w:hint="eastAsia"/>
          <w:snapToGrid w:val="0"/>
          <w:color w:val="000000"/>
          <w:sz w:val="21"/>
          <w:szCs w:val="21"/>
        </w:rPr>
        <w:t>观察期：2013年</w:t>
      </w:r>
      <w:r w:rsidR="00144749">
        <w:rPr>
          <w:rFonts w:ascii="宋体" w:eastAsia="宋体" w:hAnsi="宋体" w:hint="eastAsia"/>
          <w:snapToGrid w:val="0"/>
          <w:color w:val="000000"/>
          <w:sz w:val="21"/>
          <w:szCs w:val="21"/>
        </w:rPr>
        <w:t>11</w:t>
      </w:r>
      <w:r w:rsidR="00EA12E1">
        <w:rPr>
          <w:rFonts w:ascii="宋体" w:eastAsia="宋体" w:hAnsi="宋体" w:hint="eastAsia"/>
          <w:snapToGrid w:val="0"/>
          <w:color w:val="000000"/>
          <w:sz w:val="21"/>
          <w:szCs w:val="21"/>
        </w:rPr>
        <w:t>月</w:t>
      </w:r>
      <w:r w:rsidR="00A6390D">
        <w:rPr>
          <w:rFonts w:ascii="宋体" w:eastAsia="宋体" w:hAnsi="宋体" w:hint="eastAsia"/>
          <w:snapToGrid w:val="0"/>
          <w:color w:val="000000"/>
          <w:sz w:val="21"/>
          <w:szCs w:val="21"/>
        </w:rPr>
        <w:t>27</w:t>
      </w:r>
      <w:r w:rsidR="00EA12E1">
        <w:rPr>
          <w:rFonts w:ascii="宋体" w:eastAsia="宋体" w:hAnsi="宋体" w:hint="eastAsia"/>
          <w:snapToGrid w:val="0"/>
          <w:color w:val="000000"/>
          <w:sz w:val="21"/>
          <w:szCs w:val="21"/>
        </w:rPr>
        <w:t>日至2014年</w:t>
      </w:r>
      <w:r w:rsidR="00144749">
        <w:rPr>
          <w:rFonts w:ascii="宋体" w:eastAsia="宋体" w:hAnsi="宋体" w:hint="eastAsia"/>
          <w:snapToGrid w:val="0"/>
          <w:color w:val="000000"/>
          <w:sz w:val="21"/>
          <w:szCs w:val="21"/>
        </w:rPr>
        <w:t>5</w:t>
      </w:r>
      <w:r w:rsidR="00EA12E1">
        <w:rPr>
          <w:rFonts w:ascii="宋体" w:eastAsia="宋体" w:hAnsi="宋体" w:hint="eastAsia"/>
          <w:snapToGrid w:val="0"/>
          <w:color w:val="000000"/>
          <w:sz w:val="21"/>
          <w:szCs w:val="21"/>
        </w:rPr>
        <w:t>月</w:t>
      </w:r>
      <w:r w:rsidR="00797B40">
        <w:rPr>
          <w:rFonts w:ascii="宋体" w:eastAsia="宋体" w:hAnsi="宋体" w:hint="eastAsia"/>
          <w:snapToGrid w:val="0"/>
          <w:color w:val="000000"/>
          <w:sz w:val="21"/>
          <w:szCs w:val="21"/>
        </w:rPr>
        <w:t>23</w:t>
      </w:r>
      <w:r w:rsidR="00EA12E1">
        <w:rPr>
          <w:rFonts w:ascii="宋体" w:eastAsia="宋体" w:hAnsi="宋体" w:hint="eastAsia"/>
          <w:snapToGrid w:val="0"/>
          <w:color w:val="000000"/>
          <w:sz w:val="21"/>
          <w:szCs w:val="21"/>
        </w:rPr>
        <w:t>日</w:t>
      </w:r>
    </w:p>
    <w:p w:rsidR="008B1C6A" w:rsidRPr="00E30CAA" w:rsidRDefault="00EA12E1" w:rsidP="00EA12E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8B1C6A" w:rsidRPr="00E30CAA">
        <w:rPr>
          <w:rFonts w:ascii="宋体" w:eastAsia="宋体" w:hAnsi="宋体" w:hint="eastAsia"/>
          <w:snapToGrid w:val="0"/>
          <w:color w:val="000000"/>
          <w:sz w:val="21"/>
          <w:szCs w:val="21"/>
        </w:rPr>
        <w:t>收盘价格：指</w:t>
      </w:r>
      <w:r>
        <w:rPr>
          <w:rFonts w:ascii="宋体" w:eastAsia="宋体" w:hAnsi="宋体" w:hint="eastAsia"/>
          <w:snapToGrid w:val="0"/>
          <w:color w:val="000000"/>
          <w:sz w:val="21"/>
          <w:szCs w:val="21"/>
        </w:rPr>
        <w:t>挂钩标的</w:t>
      </w:r>
      <w:r w:rsidR="008B1C6A" w:rsidRPr="00E30CAA">
        <w:rPr>
          <w:rFonts w:ascii="宋体" w:eastAsia="宋体" w:hAnsi="宋体" w:hint="eastAsia"/>
          <w:snapToGrid w:val="0"/>
          <w:color w:val="000000"/>
          <w:sz w:val="21"/>
          <w:szCs w:val="21"/>
        </w:rPr>
        <w:t>在香港交易所当日依据官方规定公布的交易收盘价；</w:t>
      </w:r>
    </w:p>
    <w:p w:rsidR="008B1C6A" w:rsidRPr="009323FD" w:rsidRDefault="008B1C6A" w:rsidP="008B1C6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w:t>
      </w:r>
      <w:r w:rsidR="00EA12E1">
        <w:rPr>
          <w:rFonts w:ascii="宋体" w:eastAsia="宋体" w:hAnsi="宋体" w:hint="eastAsia"/>
          <w:snapToGrid w:val="0"/>
          <w:color w:val="000000"/>
          <w:sz w:val="21"/>
          <w:szCs w:val="21"/>
        </w:rPr>
        <w:t>3</w:t>
      </w:r>
      <w:r w:rsidRPr="009323FD">
        <w:rPr>
          <w:rFonts w:ascii="宋体" w:eastAsia="宋体" w:hAnsi="宋体" w:hint="eastAsia"/>
          <w:snapToGrid w:val="0"/>
          <w:color w:val="000000"/>
          <w:sz w:val="21"/>
          <w:szCs w:val="21"/>
        </w:rPr>
        <w:t>）起始价格：为该</w:t>
      </w:r>
      <w:r w:rsidR="00EA12E1">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w:t>
      </w:r>
      <w:r w:rsidR="00EA12E1">
        <w:rPr>
          <w:rFonts w:ascii="宋体" w:eastAsia="宋体" w:hAnsi="宋体" w:hint="eastAsia"/>
          <w:snapToGrid w:val="0"/>
          <w:color w:val="000000"/>
          <w:sz w:val="21"/>
          <w:szCs w:val="21"/>
        </w:rPr>
        <w:t>产品</w:t>
      </w:r>
      <w:r w:rsidRPr="009323FD">
        <w:rPr>
          <w:rFonts w:ascii="宋体" w:eastAsia="宋体" w:hAnsi="宋体" w:hint="eastAsia"/>
          <w:snapToGrid w:val="0"/>
          <w:color w:val="000000"/>
          <w:sz w:val="21"/>
          <w:szCs w:val="21"/>
        </w:rPr>
        <w:t>成立日不是交易日，那么以该日之后最近</w:t>
      </w:r>
      <w:r w:rsidRPr="009323FD">
        <w:rPr>
          <w:rFonts w:ascii="宋体" w:eastAsia="宋体" w:hAnsi="宋体" w:hint="eastAsia"/>
          <w:sz w:val="21"/>
          <w:szCs w:val="21"/>
        </w:rPr>
        <w:t>一个交易日的收盘价格为准；</w:t>
      </w:r>
    </w:p>
    <w:p w:rsidR="008B1C6A" w:rsidRDefault="008B1C6A" w:rsidP="008B1C6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EA12E1">
        <w:rPr>
          <w:rFonts w:ascii="宋体" w:eastAsia="宋体" w:hAnsi="宋体" w:hint="eastAsia"/>
          <w:sz w:val="21"/>
          <w:szCs w:val="21"/>
        </w:rPr>
        <w:t>4</w:t>
      </w:r>
      <w:r w:rsidRPr="009323FD">
        <w:rPr>
          <w:rFonts w:ascii="宋体" w:eastAsia="宋体" w:hAnsi="宋体" w:hint="eastAsia"/>
          <w:sz w:val="21"/>
          <w:szCs w:val="21"/>
        </w:rPr>
        <w:t>）交易区间</w:t>
      </w:r>
      <w:r w:rsidR="000337EF">
        <w:rPr>
          <w:rFonts w:ascii="宋体" w:eastAsia="宋体" w:hAnsi="宋体" w:hint="eastAsia"/>
          <w:sz w:val="21"/>
          <w:szCs w:val="21"/>
        </w:rPr>
        <w:t>1</w:t>
      </w:r>
      <w:r w:rsidRPr="009323FD">
        <w:rPr>
          <w:rFonts w:ascii="宋体" w:eastAsia="宋体" w:hAnsi="宋体" w:hint="eastAsia"/>
          <w:sz w:val="21"/>
          <w:szCs w:val="21"/>
        </w:rPr>
        <w:t>：</w:t>
      </w:r>
      <w:r w:rsidR="002901B3">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sidR="00144749">
        <w:rPr>
          <w:rFonts w:ascii="宋体" w:eastAsia="宋体" w:hAnsi="宋体" w:hint="eastAsia"/>
          <w:sz w:val="21"/>
          <w:szCs w:val="21"/>
          <w:highlight w:val="yellow"/>
        </w:rPr>
        <w:t>91</w:t>
      </w:r>
      <w:r w:rsidR="00144E2E">
        <w:rPr>
          <w:rFonts w:ascii="宋体" w:eastAsia="宋体" w:hAnsi="宋体" w:hint="eastAsia"/>
          <w:sz w:val="21"/>
          <w:szCs w:val="21"/>
          <w:highlight w:val="yellow"/>
        </w:rPr>
        <w:t>.5</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w:t>
      </w:r>
      <w:r w:rsidR="000337EF">
        <w:rPr>
          <w:rFonts w:ascii="宋体" w:eastAsia="宋体" w:hAnsi="宋体" w:hint="eastAsia"/>
          <w:sz w:val="21"/>
          <w:szCs w:val="21"/>
        </w:rPr>
        <w:t>（下限1）</w:t>
      </w:r>
      <w:r w:rsidRPr="009323FD">
        <w:rPr>
          <w:rFonts w:ascii="宋体" w:eastAsia="宋体" w:hAnsi="宋体" w:hint="eastAsia"/>
          <w:sz w:val="21"/>
          <w:szCs w:val="21"/>
        </w:rPr>
        <w:t xml:space="preserve">至 </w:t>
      </w:r>
      <w:r w:rsidR="002901B3">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00CA3B24">
        <w:rPr>
          <w:rFonts w:ascii="宋体" w:eastAsia="宋体" w:hAnsi="宋体" w:cs="宋体" w:hint="eastAsia"/>
          <w:b/>
          <w:bCs/>
          <w:snapToGrid w:val="0"/>
          <w:color w:val="000000"/>
          <w:sz w:val="13"/>
          <w:szCs w:val="13"/>
        </w:rPr>
        <w:t xml:space="preserve"> </w:t>
      </w:r>
      <w:r w:rsidR="00D42D88">
        <w:rPr>
          <w:rFonts w:ascii="宋体" w:eastAsia="宋体" w:hAnsi="宋体" w:hint="eastAsia"/>
          <w:sz w:val="21"/>
          <w:szCs w:val="21"/>
          <w:highlight w:val="yellow"/>
        </w:rPr>
        <w:t>1</w:t>
      </w:r>
      <w:r w:rsidR="00BE44C2">
        <w:rPr>
          <w:rFonts w:ascii="宋体" w:eastAsia="宋体" w:hAnsi="宋体" w:hint="eastAsia"/>
          <w:sz w:val="21"/>
          <w:szCs w:val="21"/>
          <w:highlight w:val="yellow"/>
        </w:rPr>
        <w:t>0</w:t>
      </w:r>
      <w:r w:rsidR="00144E2E">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000337EF">
        <w:rPr>
          <w:rFonts w:ascii="宋体" w:eastAsia="宋体" w:hAnsi="宋体" w:hint="eastAsia"/>
          <w:sz w:val="21"/>
          <w:szCs w:val="21"/>
        </w:rPr>
        <w:t>（上限1）</w:t>
      </w:r>
      <w:r w:rsidRPr="009323FD">
        <w:rPr>
          <w:rFonts w:ascii="宋体" w:eastAsia="宋体" w:hAnsi="宋体" w:hint="eastAsia"/>
          <w:sz w:val="21"/>
          <w:szCs w:val="21"/>
        </w:rPr>
        <w:t>（</w:t>
      </w:r>
      <w:r w:rsidR="000337EF">
        <w:rPr>
          <w:rFonts w:ascii="宋体" w:eastAsia="宋体" w:hAnsi="宋体" w:hint="eastAsia"/>
          <w:sz w:val="21"/>
          <w:szCs w:val="21"/>
        </w:rPr>
        <w:t>包括下</w:t>
      </w:r>
      <w:r w:rsidRPr="009323FD">
        <w:rPr>
          <w:rFonts w:ascii="宋体" w:eastAsia="宋体" w:hAnsi="宋体" w:hint="eastAsia"/>
          <w:sz w:val="21"/>
          <w:szCs w:val="21"/>
        </w:rPr>
        <w:t>限</w:t>
      </w:r>
      <w:r w:rsidR="000337EF">
        <w:rPr>
          <w:rFonts w:ascii="宋体" w:eastAsia="宋体" w:hAnsi="宋体" w:hint="eastAsia"/>
          <w:sz w:val="21"/>
          <w:szCs w:val="21"/>
        </w:rPr>
        <w:t>1和上限1</w:t>
      </w:r>
      <w:r w:rsidRPr="009323FD">
        <w:rPr>
          <w:rFonts w:ascii="宋体" w:eastAsia="宋体" w:hAnsi="宋体" w:hint="eastAsia"/>
          <w:sz w:val="21"/>
          <w:szCs w:val="21"/>
        </w:rPr>
        <w:t>）；</w:t>
      </w:r>
    </w:p>
    <w:p w:rsidR="000337EF" w:rsidRPr="009323FD" w:rsidRDefault="000337EF" w:rsidP="008B1C6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z w:val="21"/>
          <w:szCs w:val="21"/>
        </w:rPr>
        <w:tab/>
      </w:r>
      <w:r w:rsidRPr="009323FD">
        <w:rPr>
          <w:rFonts w:ascii="宋体" w:eastAsia="宋体" w:hAnsi="宋体" w:hint="eastAsia"/>
          <w:sz w:val="21"/>
          <w:szCs w:val="21"/>
        </w:rPr>
        <w:t>交易区间</w:t>
      </w:r>
      <w:r>
        <w:rPr>
          <w:rFonts w:ascii="宋体" w:eastAsia="宋体" w:hAnsi="宋体" w:hint="eastAsia"/>
          <w:sz w:val="21"/>
          <w:szCs w:val="21"/>
        </w:rPr>
        <w:t>2</w:t>
      </w:r>
      <w:r w:rsidRPr="009323FD">
        <w:rPr>
          <w:rFonts w:ascii="宋体" w:eastAsia="宋体" w:hAnsi="宋体" w:hint="eastAsia"/>
          <w:sz w:val="21"/>
          <w:szCs w:val="21"/>
        </w:rPr>
        <w:t>：</w:t>
      </w:r>
      <w:r w:rsidR="002901B3">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sidR="00BE44C2">
        <w:rPr>
          <w:rFonts w:ascii="宋体" w:eastAsia="宋体" w:hAnsi="宋体" w:hint="eastAsia"/>
          <w:sz w:val="21"/>
          <w:szCs w:val="21"/>
          <w:highlight w:val="yellow"/>
        </w:rPr>
        <w:t>8</w:t>
      </w:r>
      <w:r w:rsidR="00144E2E">
        <w:rPr>
          <w:rFonts w:ascii="宋体" w:eastAsia="宋体" w:hAnsi="宋体" w:hint="eastAsia"/>
          <w:sz w:val="21"/>
          <w:szCs w:val="21"/>
          <w:highlight w:val="yellow"/>
        </w:rPr>
        <w:t>1</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w:t>
      </w:r>
      <w:r>
        <w:rPr>
          <w:rFonts w:ascii="宋体" w:eastAsia="宋体" w:hAnsi="宋体" w:hint="eastAsia"/>
          <w:sz w:val="21"/>
          <w:szCs w:val="21"/>
        </w:rPr>
        <w:t>（下限2）</w:t>
      </w:r>
      <w:r w:rsidRPr="009323FD">
        <w:rPr>
          <w:rFonts w:ascii="宋体" w:eastAsia="宋体" w:hAnsi="宋体" w:hint="eastAsia"/>
          <w:sz w:val="21"/>
          <w:szCs w:val="21"/>
        </w:rPr>
        <w:t xml:space="preserve">至 </w:t>
      </w:r>
      <w:r w:rsidR="002901B3">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00CA3B24">
        <w:rPr>
          <w:rFonts w:ascii="宋体" w:eastAsia="宋体" w:hAnsi="宋体" w:cs="宋体" w:hint="eastAsia"/>
          <w:b/>
          <w:bCs/>
          <w:snapToGrid w:val="0"/>
          <w:color w:val="000000"/>
          <w:sz w:val="13"/>
          <w:szCs w:val="13"/>
        </w:rPr>
        <w:t xml:space="preserve"> </w:t>
      </w:r>
      <w:r w:rsidR="00BE44C2">
        <w:rPr>
          <w:rFonts w:ascii="宋体" w:eastAsia="宋体" w:hAnsi="宋体" w:hint="eastAsia"/>
          <w:sz w:val="21"/>
          <w:szCs w:val="21"/>
          <w:highlight w:val="yellow"/>
        </w:rPr>
        <w:t>11</w:t>
      </w:r>
      <w:r w:rsidR="00144E2E">
        <w:rPr>
          <w:rFonts w:ascii="宋体" w:eastAsia="宋体" w:hAnsi="宋体" w:hint="eastAsia"/>
          <w:sz w:val="21"/>
          <w:szCs w:val="21"/>
          <w:highlight w:val="yellow"/>
        </w:rPr>
        <w:t>9</w:t>
      </w:r>
      <w:r w:rsidRPr="00C909D1">
        <w:rPr>
          <w:rFonts w:ascii="宋体" w:eastAsia="宋体" w:hAnsi="宋体" w:hint="eastAsia"/>
          <w:sz w:val="21"/>
          <w:szCs w:val="21"/>
          <w:highlight w:val="yellow"/>
        </w:rPr>
        <w:t>%</w:t>
      </w:r>
      <w:r>
        <w:rPr>
          <w:rFonts w:ascii="宋体" w:eastAsia="宋体" w:hAnsi="宋体" w:hint="eastAsia"/>
          <w:sz w:val="21"/>
          <w:szCs w:val="21"/>
        </w:rPr>
        <w:t>（上限2）</w:t>
      </w:r>
      <w:r w:rsidRPr="009323FD">
        <w:rPr>
          <w:rFonts w:ascii="宋体" w:eastAsia="宋体" w:hAnsi="宋体" w:hint="eastAsia"/>
          <w:sz w:val="21"/>
          <w:szCs w:val="21"/>
        </w:rPr>
        <w:t>（</w:t>
      </w:r>
      <w:r>
        <w:rPr>
          <w:rFonts w:ascii="宋体" w:eastAsia="宋体" w:hAnsi="宋体" w:hint="eastAsia"/>
          <w:sz w:val="21"/>
          <w:szCs w:val="21"/>
        </w:rPr>
        <w:t>包括下</w:t>
      </w:r>
      <w:r w:rsidRPr="009323FD">
        <w:rPr>
          <w:rFonts w:ascii="宋体" w:eastAsia="宋体" w:hAnsi="宋体" w:hint="eastAsia"/>
          <w:sz w:val="21"/>
          <w:szCs w:val="21"/>
        </w:rPr>
        <w:t>限</w:t>
      </w:r>
      <w:r>
        <w:rPr>
          <w:rFonts w:ascii="宋体" w:eastAsia="宋体" w:hAnsi="宋体" w:hint="eastAsia"/>
          <w:sz w:val="21"/>
          <w:szCs w:val="21"/>
        </w:rPr>
        <w:t>2和上限2</w:t>
      </w:r>
      <w:r w:rsidRPr="009323FD">
        <w:rPr>
          <w:rFonts w:ascii="宋体" w:eastAsia="宋体" w:hAnsi="宋体" w:hint="eastAsia"/>
          <w:sz w:val="21"/>
          <w:szCs w:val="21"/>
        </w:rPr>
        <w:t>）；</w:t>
      </w:r>
    </w:p>
    <w:p w:rsidR="00EA12E1" w:rsidRDefault="008B1C6A" w:rsidP="000337E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0337EF">
        <w:rPr>
          <w:rFonts w:ascii="宋体" w:eastAsia="宋体" w:hAnsi="宋体" w:hint="eastAsia"/>
          <w:sz w:val="21"/>
          <w:szCs w:val="21"/>
        </w:rPr>
        <w:t>4</w:t>
      </w:r>
      <w:r w:rsidRPr="009323FD">
        <w:rPr>
          <w:rFonts w:ascii="宋体" w:eastAsia="宋体" w:hAnsi="宋体" w:hint="eastAsia"/>
          <w:sz w:val="21"/>
          <w:szCs w:val="21"/>
        </w:rPr>
        <w:t>）</w:t>
      </w:r>
      <w:r w:rsidR="00EA12E1">
        <w:rPr>
          <w:rFonts w:ascii="宋体" w:eastAsia="宋体" w:hAnsi="宋体" w:hint="eastAsia"/>
          <w:sz w:val="21"/>
          <w:szCs w:val="21"/>
        </w:rPr>
        <w:t>观察期</w:t>
      </w:r>
      <w:r w:rsidR="002901B3">
        <w:rPr>
          <w:rFonts w:ascii="宋体" w:eastAsia="宋体" w:hAnsi="宋体" w:hint="eastAsia"/>
          <w:sz w:val="21"/>
          <w:szCs w:val="21"/>
        </w:rPr>
        <w:t>频率</w:t>
      </w:r>
      <w:r w:rsidR="00EA12E1">
        <w:rPr>
          <w:rFonts w:ascii="宋体" w:eastAsia="宋体" w:hAnsi="宋体" w:hint="eastAsia"/>
          <w:sz w:val="21"/>
          <w:szCs w:val="21"/>
        </w:rPr>
        <w:t>：</w:t>
      </w:r>
      <w:r w:rsidR="002901B3" w:rsidRPr="005E4FA4">
        <w:rPr>
          <w:rFonts w:ascii="宋体" w:eastAsia="宋体" w:hAnsi="宋体" w:hint="eastAsia"/>
          <w:sz w:val="21"/>
          <w:szCs w:val="21"/>
        </w:rPr>
        <w:t>本期理财产品为每天观察。</w:t>
      </w:r>
    </w:p>
    <w:p w:rsidR="008B1C6A" w:rsidRPr="009323FD" w:rsidRDefault="008B1C6A" w:rsidP="002901B3">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8B1C6A" w:rsidRPr="009323FD" w:rsidRDefault="008B1C6A" w:rsidP="008B1C6A">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8B1C6A" w:rsidRPr="009323FD" w:rsidRDefault="008B1C6A" w:rsidP="008B1C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8B1C6A" w:rsidRDefault="008B1C6A" w:rsidP="008B1C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8B1C6A" w:rsidRPr="005E4FA4" w:rsidRDefault="008B1C6A" w:rsidP="008B1C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445144">
        <w:rPr>
          <w:rFonts w:ascii="宋体" w:eastAsia="宋体" w:hAnsi="宋体" w:hint="eastAsia"/>
          <w:snapToGrid w:val="0"/>
          <w:color w:val="000000"/>
          <w:sz w:val="21"/>
          <w:szCs w:val="21"/>
        </w:rPr>
        <w:t>45</w:t>
      </w:r>
      <w:r w:rsidR="002901B3">
        <w:rPr>
          <w:rFonts w:ascii="宋体" w:eastAsia="宋体" w:hAnsi="宋体" w:hint="eastAsia"/>
          <w:snapToGrid w:val="0"/>
          <w:color w:val="000000"/>
          <w:sz w:val="21"/>
          <w:szCs w:val="21"/>
        </w:rPr>
        <w:t>%</w:t>
      </w:r>
      <w:r w:rsidRPr="005E4FA4">
        <w:rPr>
          <w:rFonts w:ascii="宋体" w:eastAsia="宋体" w:hAnsi="宋体" w:hint="eastAsia"/>
          <w:snapToGrid w:val="0"/>
          <w:color w:val="000000"/>
          <w:sz w:val="21"/>
          <w:szCs w:val="21"/>
        </w:rPr>
        <w:t>/年。</w:t>
      </w:r>
    </w:p>
    <w:p w:rsidR="008B1C6A" w:rsidRPr="001260EF" w:rsidRDefault="008B1C6A" w:rsidP="008B1C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8B1C6A" w:rsidRDefault="008B1C6A" w:rsidP="008B1C6A">
      <w:pPr>
        <w:adjustRightInd w:val="0"/>
        <w:snapToGrid w:val="0"/>
        <w:spacing w:line="440" w:lineRule="exact"/>
        <w:ind w:firstLineChars="200" w:firstLine="422"/>
        <w:textAlignment w:val="center"/>
        <w:rPr>
          <w:rFonts w:ascii="宋体" w:eastAsia="宋体" w:hAnsi="宋体"/>
          <w:b/>
          <w:sz w:val="21"/>
          <w:szCs w:val="21"/>
        </w:rPr>
      </w:pPr>
      <w:r w:rsidRPr="009323FD">
        <w:rPr>
          <w:rFonts w:ascii="宋体" w:eastAsia="宋体" w:hAnsi="宋体" w:hint="eastAsia"/>
          <w:b/>
          <w:snapToGrid w:val="0"/>
          <w:color w:val="000000"/>
          <w:sz w:val="21"/>
          <w:szCs w:val="21"/>
        </w:rPr>
        <w:t>2、客户</w:t>
      </w:r>
      <w:r w:rsidR="000337EF">
        <w:rPr>
          <w:rFonts w:ascii="宋体" w:eastAsia="宋体" w:hAnsi="宋体" w:hint="eastAsia"/>
          <w:b/>
          <w:snapToGrid w:val="0"/>
          <w:color w:val="000000"/>
          <w:sz w:val="21"/>
          <w:szCs w:val="21"/>
        </w:rPr>
        <w:t>潜在年化</w:t>
      </w:r>
      <w:r w:rsidRPr="009323FD">
        <w:rPr>
          <w:rFonts w:ascii="宋体" w:eastAsia="宋体" w:hAnsi="宋体" w:hint="eastAsia"/>
          <w:b/>
          <w:snapToGrid w:val="0"/>
          <w:color w:val="000000"/>
          <w:sz w:val="21"/>
          <w:szCs w:val="21"/>
        </w:rPr>
        <w:t>收益率</w:t>
      </w:r>
      <w:r w:rsidR="000337EF">
        <w:rPr>
          <w:rFonts w:ascii="宋体" w:eastAsia="宋体" w:hAnsi="宋体" w:hint="eastAsia"/>
          <w:b/>
          <w:snapToGrid w:val="0"/>
          <w:color w:val="000000"/>
          <w:sz w:val="21"/>
          <w:szCs w:val="21"/>
        </w:rPr>
        <w:t>1</w:t>
      </w:r>
      <w:r w:rsidRPr="009323FD">
        <w:rPr>
          <w:rFonts w:ascii="宋体" w:eastAsia="宋体" w:hAnsi="宋体" w:hint="eastAsia"/>
          <w:b/>
          <w:snapToGrid w:val="0"/>
          <w:color w:val="000000"/>
          <w:sz w:val="21"/>
          <w:szCs w:val="21"/>
        </w:rPr>
        <w:t>：</w:t>
      </w:r>
      <w:r w:rsidRPr="009323FD">
        <w:rPr>
          <w:rFonts w:ascii="宋体" w:eastAsia="宋体" w:hAnsi="宋体" w:hint="eastAsia"/>
          <w:b/>
          <w:sz w:val="21"/>
          <w:szCs w:val="21"/>
        </w:rPr>
        <w:t xml:space="preserve">   </w:t>
      </w:r>
      <w:r w:rsidR="00445144">
        <w:rPr>
          <w:rFonts w:ascii="宋体" w:eastAsia="宋体" w:hAnsi="宋体" w:hint="eastAsia"/>
          <w:b/>
          <w:sz w:val="21"/>
          <w:szCs w:val="21"/>
          <w:highlight w:val="yellow"/>
        </w:rPr>
        <w:t>6.0</w:t>
      </w:r>
      <w:r w:rsidRPr="00643ACB">
        <w:rPr>
          <w:rFonts w:ascii="宋体" w:eastAsia="宋体" w:hAnsi="宋体" w:hint="eastAsia"/>
          <w:b/>
          <w:sz w:val="21"/>
          <w:szCs w:val="21"/>
          <w:highlight w:val="yellow"/>
        </w:rPr>
        <w:t>0 %</w:t>
      </w:r>
    </w:p>
    <w:p w:rsidR="000337EF" w:rsidRDefault="000337EF" w:rsidP="000337EF">
      <w:pPr>
        <w:adjustRightInd w:val="0"/>
        <w:snapToGrid w:val="0"/>
        <w:spacing w:line="440" w:lineRule="exact"/>
        <w:ind w:left="6" w:firstLineChars="347" w:firstLine="732"/>
        <w:textAlignment w:val="center"/>
        <w:rPr>
          <w:rFonts w:ascii="宋体" w:eastAsia="宋体" w:hAnsi="宋体"/>
          <w:b/>
          <w:sz w:val="21"/>
          <w:szCs w:val="21"/>
        </w:rPr>
      </w:pPr>
      <w:r w:rsidRPr="009323FD">
        <w:rPr>
          <w:rFonts w:ascii="宋体" w:eastAsia="宋体" w:hAnsi="宋体" w:hint="eastAsia"/>
          <w:b/>
          <w:snapToGrid w:val="0"/>
          <w:color w:val="000000"/>
          <w:sz w:val="21"/>
          <w:szCs w:val="21"/>
        </w:rPr>
        <w:t>客户</w:t>
      </w:r>
      <w:r>
        <w:rPr>
          <w:rFonts w:ascii="宋体" w:eastAsia="宋体" w:hAnsi="宋体" w:hint="eastAsia"/>
          <w:b/>
          <w:snapToGrid w:val="0"/>
          <w:color w:val="000000"/>
          <w:sz w:val="21"/>
          <w:szCs w:val="21"/>
        </w:rPr>
        <w:t>潜在年化</w:t>
      </w:r>
      <w:r w:rsidRPr="009323FD">
        <w:rPr>
          <w:rFonts w:ascii="宋体" w:eastAsia="宋体" w:hAnsi="宋体" w:hint="eastAsia"/>
          <w:b/>
          <w:snapToGrid w:val="0"/>
          <w:color w:val="000000"/>
          <w:sz w:val="21"/>
          <w:szCs w:val="21"/>
        </w:rPr>
        <w:t>收益率</w:t>
      </w:r>
      <w:r>
        <w:rPr>
          <w:rFonts w:ascii="宋体" w:eastAsia="宋体" w:hAnsi="宋体" w:hint="eastAsia"/>
          <w:b/>
          <w:snapToGrid w:val="0"/>
          <w:color w:val="000000"/>
          <w:sz w:val="21"/>
          <w:szCs w:val="21"/>
        </w:rPr>
        <w:t>2</w:t>
      </w:r>
      <w:r w:rsidRPr="009323FD">
        <w:rPr>
          <w:rFonts w:ascii="宋体" w:eastAsia="宋体" w:hAnsi="宋体" w:hint="eastAsia"/>
          <w:b/>
          <w:snapToGrid w:val="0"/>
          <w:color w:val="000000"/>
          <w:sz w:val="21"/>
          <w:szCs w:val="21"/>
        </w:rPr>
        <w:t>：</w:t>
      </w:r>
      <w:r>
        <w:rPr>
          <w:rFonts w:ascii="宋体" w:eastAsia="宋体" w:hAnsi="宋体" w:hint="eastAsia"/>
          <w:b/>
          <w:sz w:val="21"/>
          <w:szCs w:val="21"/>
        </w:rPr>
        <w:t xml:space="preserve">   </w:t>
      </w:r>
      <w:r>
        <w:rPr>
          <w:rFonts w:ascii="宋体" w:eastAsia="宋体" w:hAnsi="宋体" w:hint="eastAsia"/>
          <w:b/>
          <w:sz w:val="21"/>
          <w:szCs w:val="21"/>
          <w:highlight w:val="yellow"/>
        </w:rPr>
        <w:t>2.8</w:t>
      </w:r>
      <w:r w:rsidRPr="00643ACB">
        <w:rPr>
          <w:rFonts w:ascii="宋体" w:eastAsia="宋体" w:hAnsi="宋体" w:hint="eastAsia"/>
          <w:b/>
          <w:sz w:val="21"/>
          <w:szCs w:val="21"/>
          <w:highlight w:val="yellow"/>
        </w:rPr>
        <w:t>0 %</w:t>
      </w:r>
    </w:p>
    <w:p w:rsidR="000337EF" w:rsidRPr="000D2FD8" w:rsidRDefault="000337EF" w:rsidP="000337EF">
      <w:pPr>
        <w:adjustRightInd w:val="0"/>
        <w:snapToGrid w:val="0"/>
        <w:spacing w:line="440" w:lineRule="exact"/>
        <w:ind w:left="6" w:firstLineChars="347" w:firstLine="732"/>
        <w:textAlignment w:val="center"/>
        <w:rPr>
          <w:rFonts w:ascii="宋体" w:eastAsia="宋体" w:hAnsi="宋体"/>
          <w:sz w:val="21"/>
          <w:szCs w:val="21"/>
        </w:rPr>
      </w:pPr>
      <w:r w:rsidRPr="009323FD">
        <w:rPr>
          <w:rFonts w:ascii="宋体" w:eastAsia="宋体" w:hAnsi="宋体" w:hint="eastAsia"/>
          <w:b/>
          <w:snapToGrid w:val="0"/>
          <w:color w:val="000000"/>
          <w:sz w:val="21"/>
          <w:szCs w:val="21"/>
        </w:rPr>
        <w:t>客户</w:t>
      </w:r>
      <w:r>
        <w:rPr>
          <w:rFonts w:ascii="宋体" w:eastAsia="宋体" w:hAnsi="宋体" w:hint="eastAsia"/>
          <w:b/>
          <w:snapToGrid w:val="0"/>
          <w:color w:val="000000"/>
          <w:sz w:val="21"/>
          <w:szCs w:val="21"/>
        </w:rPr>
        <w:t>最低年化</w:t>
      </w:r>
      <w:r w:rsidRPr="009323FD">
        <w:rPr>
          <w:rFonts w:ascii="宋体" w:eastAsia="宋体" w:hAnsi="宋体" w:hint="eastAsia"/>
          <w:b/>
          <w:snapToGrid w:val="0"/>
          <w:color w:val="000000"/>
          <w:sz w:val="21"/>
          <w:szCs w:val="21"/>
        </w:rPr>
        <w:t>收益率：</w:t>
      </w:r>
      <w:r>
        <w:rPr>
          <w:rFonts w:ascii="宋体" w:eastAsia="宋体" w:hAnsi="宋体" w:hint="eastAsia"/>
          <w:b/>
          <w:sz w:val="21"/>
          <w:szCs w:val="21"/>
        </w:rPr>
        <w:t xml:space="preserve">  </w:t>
      </w:r>
      <w:r>
        <w:rPr>
          <w:rFonts w:ascii="宋体" w:eastAsia="宋体" w:hAnsi="宋体" w:hint="eastAsia"/>
          <w:b/>
          <w:sz w:val="21"/>
          <w:szCs w:val="21"/>
          <w:highlight w:val="yellow"/>
        </w:rPr>
        <w:t>0.50</w:t>
      </w:r>
      <w:r w:rsidRPr="00643ACB">
        <w:rPr>
          <w:rFonts w:ascii="宋体" w:eastAsia="宋体" w:hAnsi="宋体" w:hint="eastAsia"/>
          <w:b/>
          <w:sz w:val="21"/>
          <w:szCs w:val="21"/>
          <w:highlight w:val="yellow"/>
        </w:rPr>
        <w:t xml:space="preserve"> %</w:t>
      </w:r>
    </w:p>
    <w:p w:rsidR="008B1C6A" w:rsidRPr="000D2FD8" w:rsidRDefault="008B1C6A" w:rsidP="008B1C6A">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客户预期最高年化收益率根据本产品所投挂钩标的衍生品交易所产生的预期收益率测算而得。</w:t>
      </w:r>
    </w:p>
    <w:p w:rsidR="008B1C6A" w:rsidRPr="000D2FD8" w:rsidRDefault="008B1C6A" w:rsidP="008B1C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8B1C6A" w:rsidRDefault="008B1C6A" w:rsidP="008B1C6A">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875940" w:rsidRDefault="00875940" w:rsidP="008B1C6A">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在观察期内，如果</w:t>
      </w:r>
      <w:r w:rsidR="00EF3870">
        <w:rPr>
          <w:rFonts w:ascii="宋体" w:eastAsia="宋体" w:hAnsi="宋体" w:cs="宋体" w:hint="eastAsia"/>
          <w:snapToGrid w:val="0"/>
          <w:color w:val="000000"/>
          <w:kern w:val="0"/>
          <w:sz w:val="21"/>
          <w:szCs w:val="21"/>
        </w:rPr>
        <w:t>每一个</w:t>
      </w:r>
      <w:r w:rsidR="000337EF">
        <w:rPr>
          <w:rFonts w:ascii="宋体" w:eastAsia="宋体" w:hAnsi="宋体" w:cs="宋体" w:hint="eastAsia"/>
          <w:snapToGrid w:val="0"/>
          <w:color w:val="000000"/>
          <w:kern w:val="0"/>
          <w:sz w:val="21"/>
          <w:szCs w:val="21"/>
        </w:rPr>
        <w:t>观察日</w:t>
      </w:r>
      <w:r>
        <w:rPr>
          <w:rFonts w:ascii="宋体" w:eastAsia="宋体" w:hAnsi="宋体" w:cs="宋体" w:hint="eastAsia"/>
          <w:snapToGrid w:val="0"/>
          <w:color w:val="000000"/>
          <w:kern w:val="0"/>
          <w:sz w:val="21"/>
          <w:szCs w:val="21"/>
        </w:rPr>
        <w:t>挂钩标的</w:t>
      </w:r>
      <w:r w:rsidR="0054336E">
        <w:rPr>
          <w:rFonts w:ascii="宋体" w:eastAsia="宋体" w:hAnsi="宋体" w:cs="宋体" w:hint="eastAsia"/>
          <w:snapToGrid w:val="0"/>
          <w:color w:val="000000"/>
          <w:kern w:val="0"/>
          <w:sz w:val="21"/>
          <w:szCs w:val="21"/>
        </w:rPr>
        <w:t>收盘价</w:t>
      </w:r>
      <w:r>
        <w:rPr>
          <w:rFonts w:ascii="宋体" w:eastAsia="宋体" w:hAnsi="宋体" w:cs="宋体" w:hint="eastAsia"/>
          <w:snapToGrid w:val="0"/>
          <w:color w:val="000000"/>
          <w:kern w:val="0"/>
          <w:sz w:val="21"/>
          <w:szCs w:val="21"/>
        </w:rPr>
        <w:t>格</w:t>
      </w:r>
      <w:r w:rsidR="00EF3870">
        <w:rPr>
          <w:rFonts w:ascii="宋体" w:eastAsia="宋体" w:hAnsi="宋体" w:cs="宋体" w:hint="eastAsia"/>
          <w:snapToGrid w:val="0"/>
          <w:color w:val="000000"/>
          <w:kern w:val="0"/>
          <w:sz w:val="21"/>
          <w:szCs w:val="21"/>
        </w:rPr>
        <w:t>均</w:t>
      </w:r>
      <w:r w:rsidR="000337EF">
        <w:rPr>
          <w:rFonts w:ascii="宋体" w:eastAsia="宋体" w:hAnsi="宋体" w:cs="宋体" w:hint="eastAsia"/>
          <w:snapToGrid w:val="0"/>
          <w:color w:val="000000"/>
          <w:kern w:val="0"/>
          <w:sz w:val="21"/>
          <w:szCs w:val="21"/>
        </w:rPr>
        <w:t>在交易区间1以内，</w:t>
      </w:r>
    </w:p>
    <w:p w:rsidR="000337EF" w:rsidRDefault="000337EF" w:rsidP="0087594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sidR="00445144">
        <w:rPr>
          <w:rFonts w:ascii="宋体" w:eastAsia="宋体" w:hAnsi="宋体" w:cs="宋体" w:hint="eastAsia"/>
          <w:snapToGrid w:val="0"/>
          <w:color w:val="000000"/>
          <w:kern w:val="0"/>
          <w:sz w:val="21"/>
          <w:szCs w:val="21"/>
          <w:highlight w:val="yellow"/>
        </w:rPr>
        <w:t>6.0</w:t>
      </w:r>
      <w:r w:rsidR="00E10C67" w:rsidRPr="00E10C67">
        <w:rPr>
          <w:rFonts w:ascii="宋体" w:eastAsia="宋体" w:hAnsi="宋体" w:cs="宋体" w:hint="eastAsia"/>
          <w:snapToGrid w:val="0"/>
          <w:color w:val="000000"/>
          <w:kern w:val="0"/>
          <w:sz w:val="21"/>
          <w:szCs w:val="21"/>
          <w:highlight w:val="yellow"/>
        </w:rPr>
        <w:t>0%</w:t>
      </w:r>
      <w:r w:rsidRPr="00D42D88">
        <w:rPr>
          <w:rFonts w:ascii="宋体" w:eastAsia="宋体" w:hAnsi="宋体" w:cs="宋体" w:hint="eastAsia"/>
          <w:snapToGrid w:val="0"/>
          <w:color w:val="000000"/>
          <w:kern w:val="0"/>
          <w:sz w:val="21"/>
          <w:szCs w:val="21"/>
          <w:highlight w:val="yellow"/>
        </w:rPr>
        <w:t>×</w:t>
      </w:r>
      <w:r w:rsidR="00445144">
        <w:rPr>
          <w:rFonts w:ascii="宋体" w:eastAsia="宋体" w:hAnsi="宋体" w:cs="宋体" w:hint="eastAsia"/>
          <w:snapToGrid w:val="0"/>
          <w:color w:val="000000"/>
          <w:kern w:val="0"/>
          <w:sz w:val="21"/>
          <w:szCs w:val="21"/>
          <w:highlight w:val="yellow"/>
        </w:rPr>
        <w:t>18</w:t>
      </w:r>
      <w:r w:rsidR="00021501">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/365；</w:t>
      </w:r>
    </w:p>
    <w:p w:rsidR="00875940" w:rsidRDefault="00875940" w:rsidP="000337EF">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在观察期内，</w:t>
      </w:r>
      <w:r w:rsidR="000337EF">
        <w:rPr>
          <w:rFonts w:ascii="宋体" w:eastAsia="宋体" w:hAnsi="宋体" w:cs="宋体" w:hint="eastAsia"/>
          <w:snapToGrid w:val="0"/>
          <w:color w:val="000000"/>
          <w:kern w:val="0"/>
          <w:sz w:val="21"/>
          <w:szCs w:val="21"/>
        </w:rPr>
        <w:t>如</w:t>
      </w:r>
      <w:r>
        <w:rPr>
          <w:rFonts w:ascii="宋体" w:eastAsia="宋体" w:hAnsi="宋体" w:cs="宋体" w:hint="eastAsia"/>
          <w:snapToGrid w:val="0"/>
          <w:color w:val="000000"/>
          <w:kern w:val="0"/>
          <w:sz w:val="21"/>
          <w:szCs w:val="21"/>
        </w:rPr>
        <w:t>果</w:t>
      </w:r>
      <w:r w:rsidR="00EF3870">
        <w:rPr>
          <w:rFonts w:ascii="宋体" w:eastAsia="宋体" w:hAnsi="宋体" w:cs="宋体" w:hint="eastAsia"/>
          <w:snapToGrid w:val="0"/>
          <w:color w:val="000000"/>
          <w:kern w:val="0"/>
          <w:sz w:val="21"/>
          <w:szCs w:val="21"/>
        </w:rPr>
        <w:t>任意一个</w:t>
      </w:r>
      <w:r w:rsidR="000337EF">
        <w:rPr>
          <w:rFonts w:ascii="宋体" w:eastAsia="宋体" w:hAnsi="宋体" w:cs="宋体" w:hint="eastAsia"/>
          <w:snapToGrid w:val="0"/>
          <w:color w:val="000000"/>
          <w:kern w:val="0"/>
          <w:sz w:val="21"/>
          <w:szCs w:val="21"/>
        </w:rPr>
        <w:t>观察日</w:t>
      </w:r>
      <w:r>
        <w:rPr>
          <w:rFonts w:ascii="宋体" w:eastAsia="宋体" w:hAnsi="宋体" w:cs="宋体" w:hint="eastAsia"/>
          <w:snapToGrid w:val="0"/>
          <w:color w:val="000000"/>
          <w:kern w:val="0"/>
          <w:sz w:val="21"/>
          <w:szCs w:val="21"/>
        </w:rPr>
        <w:t>挂钩标的</w:t>
      </w:r>
      <w:r w:rsidR="0054336E">
        <w:rPr>
          <w:rFonts w:ascii="宋体" w:eastAsia="宋体" w:hAnsi="宋体" w:cs="宋体" w:hint="eastAsia"/>
          <w:snapToGrid w:val="0"/>
          <w:color w:val="000000"/>
          <w:kern w:val="0"/>
          <w:sz w:val="21"/>
          <w:szCs w:val="21"/>
        </w:rPr>
        <w:t>收盘价</w:t>
      </w:r>
      <w:r>
        <w:rPr>
          <w:rFonts w:ascii="宋体" w:eastAsia="宋体" w:hAnsi="宋体" w:cs="宋体" w:hint="eastAsia"/>
          <w:snapToGrid w:val="0"/>
          <w:color w:val="000000"/>
          <w:kern w:val="0"/>
          <w:sz w:val="21"/>
          <w:szCs w:val="21"/>
        </w:rPr>
        <w:t>格</w:t>
      </w:r>
      <w:r w:rsidR="00EF3870">
        <w:rPr>
          <w:rFonts w:ascii="宋体" w:eastAsia="宋体" w:hAnsi="宋体" w:cs="宋体" w:hint="eastAsia"/>
          <w:snapToGrid w:val="0"/>
          <w:color w:val="000000"/>
          <w:kern w:val="0"/>
          <w:sz w:val="21"/>
          <w:szCs w:val="21"/>
        </w:rPr>
        <w:t>曾</w:t>
      </w:r>
      <w:r w:rsidR="000337EF">
        <w:rPr>
          <w:rFonts w:ascii="宋体" w:eastAsia="宋体" w:hAnsi="宋体" w:cs="宋体" w:hint="eastAsia"/>
          <w:snapToGrid w:val="0"/>
          <w:color w:val="000000"/>
          <w:kern w:val="0"/>
          <w:sz w:val="21"/>
          <w:szCs w:val="21"/>
        </w:rPr>
        <w:t>低于下限1或高于上限1</w:t>
      </w:r>
      <w:r>
        <w:rPr>
          <w:rFonts w:ascii="宋体" w:eastAsia="宋体" w:hAnsi="宋体" w:cs="宋体" w:hint="eastAsia"/>
          <w:snapToGrid w:val="0"/>
          <w:color w:val="000000"/>
          <w:kern w:val="0"/>
          <w:sz w:val="21"/>
          <w:szCs w:val="21"/>
        </w:rPr>
        <w:t>，</w:t>
      </w:r>
      <w:r w:rsidR="000337EF">
        <w:rPr>
          <w:rFonts w:ascii="宋体" w:eastAsia="宋体" w:hAnsi="宋体" w:cs="宋体" w:hint="eastAsia"/>
          <w:snapToGrid w:val="0"/>
          <w:color w:val="000000"/>
          <w:kern w:val="0"/>
          <w:sz w:val="21"/>
          <w:szCs w:val="21"/>
        </w:rPr>
        <w:t>但</w:t>
      </w:r>
      <w:r>
        <w:rPr>
          <w:rFonts w:ascii="宋体" w:eastAsia="宋体" w:hAnsi="宋体" w:cs="宋体" w:hint="eastAsia"/>
          <w:snapToGrid w:val="0"/>
          <w:color w:val="000000"/>
          <w:kern w:val="0"/>
          <w:sz w:val="21"/>
          <w:szCs w:val="21"/>
        </w:rPr>
        <w:t>挂钩标的收盘价格</w:t>
      </w:r>
      <w:r w:rsidR="000337EF">
        <w:rPr>
          <w:rFonts w:ascii="宋体" w:eastAsia="宋体" w:hAnsi="宋体" w:cs="宋体" w:hint="eastAsia"/>
          <w:snapToGrid w:val="0"/>
          <w:color w:val="000000"/>
          <w:kern w:val="0"/>
          <w:sz w:val="21"/>
          <w:szCs w:val="21"/>
        </w:rPr>
        <w:t>一直维持在交易区间2以内，</w:t>
      </w:r>
    </w:p>
    <w:p w:rsidR="000337EF" w:rsidRDefault="000337EF" w:rsidP="0087594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客户收益=</w:t>
      </w:r>
      <w:r w:rsidRPr="00EA388C">
        <w:rPr>
          <w:rFonts w:ascii="宋体" w:eastAsia="宋体" w:hAnsi="宋体" w:cs="宋体" w:hint="eastAsia"/>
          <w:snapToGrid w:val="0"/>
          <w:color w:val="000000"/>
          <w:kern w:val="0"/>
          <w:sz w:val="21"/>
          <w:szCs w:val="21"/>
        </w:rPr>
        <w:t>理财本金×</w:t>
      </w:r>
      <w:r w:rsidR="00E10C67" w:rsidRPr="00E10C67">
        <w:rPr>
          <w:rFonts w:ascii="宋体" w:eastAsia="宋体" w:hAnsi="宋体" w:cs="宋体" w:hint="eastAsia"/>
          <w:snapToGrid w:val="0"/>
          <w:color w:val="000000"/>
          <w:kern w:val="0"/>
          <w:sz w:val="21"/>
          <w:szCs w:val="21"/>
          <w:highlight w:val="yellow"/>
        </w:rPr>
        <w:t>2.80%</w:t>
      </w:r>
      <w:r w:rsidRPr="00E10C67">
        <w:rPr>
          <w:rFonts w:ascii="宋体" w:eastAsia="宋体" w:hAnsi="宋体" w:cs="宋体" w:hint="eastAsia"/>
          <w:snapToGrid w:val="0"/>
          <w:color w:val="000000"/>
          <w:kern w:val="0"/>
          <w:sz w:val="21"/>
          <w:szCs w:val="21"/>
          <w:highlight w:val="yellow"/>
        </w:rPr>
        <w:t>×</w:t>
      </w:r>
      <w:r w:rsidR="00144749">
        <w:rPr>
          <w:rFonts w:ascii="宋体" w:eastAsia="宋体" w:hAnsi="宋体" w:cs="宋体" w:hint="eastAsia"/>
          <w:snapToGrid w:val="0"/>
          <w:color w:val="000000"/>
          <w:kern w:val="0"/>
          <w:sz w:val="21"/>
          <w:szCs w:val="21"/>
          <w:highlight w:val="yellow"/>
        </w:rPr>
        <w:t>18</w:t>
      </w:r>
      <w:r w:rsidR="00021501">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/365；</w:t>
      </w:r>
    </w:p>
    <w:p w:rsidR="002A52EC" w:rsidRDefault="002A52EC" w:rsidP="000337EF">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在观察期内，</w:t>
      </w:r>
      <w:r w:rsidR="00EF3870">
        <w:rPr>
          <w:rFonts w:ascii="宋体" w:eastAsia="宋体" w:hAnsi="宋体" w:cs="宋体" w:hint="eastAsia"/>
          <w:snapToGrid w:val="0"/>
          <w:color w:val="000000"/>
          <w:kern w:val="0"/>
          <w:sz w:val="21"/>
          <w:szCs w:val="21"/>
        </w:rPr>
        <w:t>如</w:t>
      </w:r>
      <w:r>
        <w:rPr>
          <w:rFonts w:ascii="宋体" w:eastAsia="宋体" w:hAnsi="宋体" w:cs="宋体" w:hint="eastAsia"/>
          <w:snapToGrid w:val="0"/>
          <w:color w:val="000000"/>
          <w:kern w:val="0"/>
          <w:sz w:val="21"/>
          <w:szCs w:val="21"/>
        </w:rPr>
        <w:t>果</w:t>
      </w:r>
      <w:r w:rsidR="00EF3870">
        <w:rPr>
          <w:rFonts w:ascii="宋体" w:eastAsia="宋体" w:hAnsi="宋体" w:cs="宋体" w:hint="eastAsia"/>
          <w:snapToGrid w:val="0"/>
          <w:color w:val="000000"/>
          <w:kern w:val="0"/>
          <w:sz w:val="21"/>
          <w:szCs w:val="21"/>
        </w:rPr>
        <w:t>任意一个</w:t>
      </w:r>
      <w:r w:rsidR="000337EF" w:rsidRPr="000337EF">
        <w:rPr>
          <w:rFonts w:ascii="宋体" w:eastAsia="宋体" w:hAnsi="宋体" w:cs="宋体" w:hint="eastAsia"/>
          <w:snapToGrid w:val="0"/>
          <w:color w:val="000000"/>
          <w:kern w:val="0"/>
          <w:sz w:val="21"/>
          <w:szCs w:val="21"/>
        </w:rPr>
        <w:t>观察日</w:t>
      </w:r>
      <w:r>
        <w:rPr>
          <w:rFonts w:ascii="宋体" w:eastAsia="宋体" w:hAnsi="宋体" w:cs="宋体" w:hint="eastAsia"/>
          <w:snapToGrid w:val="0"/>
          <w:color w:val="000000"/>
          <w:kern w:val="0"/>
          <w:sz w:val="21"/>
          <w:szCs w:val="21"/>
        </w:rPr>
        <w:t>挂钩标的</w:t>
      </w:r>
      <w:r w:rsidR="0054336E">
        <w:rPr>
          <w:rFonts w:ascii="宋体" w:eastAsia="宋体" w:hAnsi="宋体" w:cs="宋体" w:hint="eastAsia"/>
          <w:snapToGrid w:val="0"/>
          <w:color w:val="000000"/>
          <w:kern w:val="0"/>
          <w:sz w:val="21"/>
          <w:szCs w:val="21"/>
        </w:rPr>
        <w:t>收盘价</w:t>
      </w:r>
      <w:r>
        <w:rPr>
          <w:rFonts w:ascii="宋体" w:eastAsia="宋体" w:hAnsi="宋体" w:cs="宋体" w:hint="eastAsia"/>
          <w:snapToGrid w:val="0"/>
          <w:color w:val="000000"/>
          <w:kern w:val="0"/>
          <w:sz w:val="21"/>
          <w:szCs w:val="21"/>
        </w:rPr>
        <w:t>格</w:t>
      </w:r>
      <w:r w:rsidR="00EF3870">
        <w:rPr>
          <w:rFonts w:ascii="宋体" w:eastAsia="宋体" w:hAnsi="宋体" w:cs="宋体" w:hint="eastAsia"/>
          <w:snapToGrid w:val="0"/>
          <w:color w:val="000000"/>
          <w:kern w:val="0"/>
          <w:sz w:val="21"/>
          <w:szCs w:val="21"/>
        </w:rPr>
        <w:t>曾</w:t>
      </w:r>
      <w:r w:rsidR="000337EF" w:rsidRPr="000337EF">
        <w:rPr>
          <w:rFonts w:ascii="宋体" w:eastAsia="宋体" w:hAnsi="宋体" w:cs="宋体" w:hint="eastAsia"/>
          <w:snapToGrid w:val="0"/>
          <w:color w:val="000000"/>
          <w:kern w:val="0"/>
          <w:sz w:val="21"/>
          <w:szCs w:val="21"/>
        </w:rPr>
        <w:t>低于下限2或高于上限2，</w:t>
      </w:r>
    </w:p>
    <w:p w:rsidR="000337EF" w:rsidRDefault="000337EF" w:rsidP="002A52EC">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sidR="00E10C67" w:rsidRPr="00E10C67">
        <w:rPr>
          <w:rFonts w:ascii="宋体" w:eastAsia="宋体" w:hAnsi="宋体" w:cs="宋体" w:hint="eastAsia"/>
          <w:snapToGrid w:val="0"/>
          <w:color w:val="000000"/>
          <w:kern w:val="0"/>
          <w:sz w:val="21"/>
          <w:szCs w:val="21"/>
          <w:highlight w:val="yellow"/>
        </w:rPr>
        <w:t>0.50%</w:t>
      </w:r>
      <w:r w:rsidRPr="00E10C67">
        <w:rPr>
          <w:rFonts w:ascii="宋体" w:eastAsia="宋体" w:hAnsi="宋体" w:cs="宋体" w:hint="eastAsia"/>
          <w:snapToGrid w:val="0"/>
          <w:color w:val="000000"/>
          <w:kern w:val="0"/>
          <w:sz w:val="21"/>
          <w:szCs w:val="21"/>
          <w:highlight w:val="yellow"/>
        </w:rPr>
        <w:t>×</w:t>
      </w:r>
      <w:r w:rsidR="00144749">
        <w:rPr>
          <w:rFonts w:ascii="宋体" w:eastAsia="宋体" w:hAnsi="宋体" w:cs="宋体" w:hint="eastAsia"/>
          <w:snapToGrid w:val="0"/>
          <w:color w:val="000000"/>
          <w:kern w:val="0"/>
          <w:sz w:val="21"/>
          <w:szCs w:val="21"/>
          <w:highlight w:val="yellow"/>
        </w:rPr>
        <w:t>18</w:t>
      </w:r>
      <w:r w:rsidR="00021501">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/365；</w:t>
      </w:r>
    </w:p>
    <w:p w:rsidR="008B1C6A" w:rsidRDefault="008B1C6A" w:rsidP="008B1C6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1A4189">
        <w:rPr>
          <w:rFonts w:ascii="宋体" w:eastAsia="宋体" w:hAnsi="宋体" w:hint="eastAsia"/>
          <w:b/>
          <w:snapToGrid w:val="0"/>
          <w:color w:val="000000"/>
          <w:sz w:val="21"/>
          <w:szCs w:val="21"/>
          <w:highlight w:val="yellow"/>
        </w:rPr>
        <w:t>4.</w:t>
      </w:r>
      <w:r w:rsidR="001A4189" w:rsidRPr="001A4189">
        <w:rPr>
          <w:rFonts w:ascii="宋体" w:eastAsia="宋体" w:hAnsi="宋体" w:hint="eastAsia"/>
          <w:b/>
          <w:snapToGrid w:val="0"/>
          <w:color w:val="000000"/>
          <w:sz w:val="21"/>
          <w:szCs w:val="21"/>
          <w:highlight w:val="yellow"/>
        </w:rPr>
        <w:t>情景分析</w:t>
      </w:r>
      <w:r w:rsidRPr="001A4189">
        <w:rPr>
          <w:rFonts w:ascii="宋体" w:eastAsia="宋体" w:hAnsi="宋体" w:hint="eastAsia"/>
          <w:b/>
          <w:snapToGrid w:val="0"/>
          <w:color w:val="000000"/>
          <w:sz w:val="21"/>
          <w:szCs w:val="21"/>
          <w:highlight w:val="yellow"/>
        </w:rPr>
        <w:t>：</w:t>
      </w:r>
    </w:p>
    <w:p w:rsidR="00151D15" w:rsidRPr="00151D15" w:rsidRDefault="00151D15" w:rsidP="00151D15">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0337EF" w:rsidRDefault="000337EF" w:rsidP="003C4B9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假设：投资本金</w:t>
      </w:r>
      <w:r w:rsidR="003C4B9D">
        <w:rPr>
          <w:rFonts w:ascii="宋体" w:eastAsia="宋体" w:hAnsi="宋体" w:hint="eastAsia"/>
          <w:b/>
          <w:snapToGrid w:val="0"/>
          <w:color w:val="000000"/>
          <w:sz w:val="21"/>
          <w:szCs w:val="21"/>
        </w:rPr>
        <w:t>为</w:t>
      </w:r>
      <w:r>
        <w:rPr>
          <w:rFonts w:ascii="宋体" w:eastAsia="宋体" w:hAnsi="宋体" w:hint="eastAsia"/>
          <w:b/>
          <w:snapToGrid w:val="0"/>
          <w:color w:val="000000"/>
          <w:sz w:val="21"/>
          <w:szCs w:val="21"/>
        </w:rPr>
        <w:t>人民币 100，000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2268"/>
        <w:gridCol w:w="3402"/>
        <w:gridCol w:w="1701"/>
      </w:tblGrid>
      <w:tr w:rsidR="003C4B9D" w:rsidRPr="005E4FA4" w:rsidTr="003C4B9D">
        <w:tc>
          <w:tcPr>
            <w:tcW w:w="1809" w:type="dxa"/>
          </w:tcPr>
          <w:p w:rsidR="003C4B9D" w:rsidRPr="005E4FA4"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2268" w:type="dxa"/>
          </w:tcPr>
          <w:p w:rsidR="003C4B9D" w:rsidRPr="005E4FA4"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3402" w:type="dxa"/>
          </w:tcPr>
          <w:p w:rsidR="003C4B9D" w:rsidRDefault="003C4B9D" w:rsidP="007D17AB">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3C4B9D" w:rsidRPr="005E4FA4" w:rsidRDefault="003C4B9D" w:rsidP="003C4B9D">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实际收益（人民币）</w:t>
            </w:r>
          </w:p>
        </w:tc>
        <w:tc>
          <w:tcPr>
            <w:tcW w:w="1701" w:type="dxa"/>
          </w:tcPr>
          <w:p w:rsidR="003C4B9D" w:rsidRDefault="003C4B9D" w:rsidP="007D17AB">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3C4B9D" w:rsidRPr="005E4FA4" w:rsidRDefault="003C4B9D" w:rsidP="007D17AB">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年化收益率</w:t>
            </w:r>
          </w:p>
        </w:tc>
      </w:tr>
      <w:tr w:rsidR="003C4B9D" w:rsidRPr="005E4FA4" w:rsidTr="003608F9">
        <w:tc>
          <w:tcPr>
            <w:tcW w:w="1809" w:type="dxa"/>
          </w:tcPr>
          <w:p w:rsidR="003C4B9D" w:rsidRPr="00D12E2C" w:rsidRDefault="003C4B9D" w:rsidP="007D17AB">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情景一：最好情况</w:t>
            </w:r>
          </w:p>
        </w:tc>
        <w:tc>
          <w:tcPr>
            <w:tcW w:w="2268" w:type="dxa"/>
            <w:vAlign w:val="center"/>
          </w:tcPr>
          <w:p w:rsidR="003C4B9D" w:rsidRPr="00A94DED" w:rsidRDefault="003C4B9D" w:rsidP="003C4B9D">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观察期内每个观察日挂钩标的收盘价格均在交易区间1以内</w:t>
            </w:r>
          </w:p>
        </w:tc>
        <w:tc>
          <w:tcPr>
            <w:tcW w:w="3402" w:type="dxa"/>
            <w:vAlign w:val="center"/>
          </w:tcPr>
          <w:p w:rsidR="003C4B9D" w:rsidRDefault="003C4B9D" w:rsidP="007D17AB">
            <w:pPr>
              <w:jc w:val="center"/>
              <w:rPr>
                <w:rFonts w:ascii="宋体" w:eastAsia="宋体" w:hAnsi="宋体" w:cs="宋体"/>
                <w:snapToGrid w:val="0"/>
                <w:color w:val="000000"/>
                <w:kern w:val="0"/>
                <w:sz w:val="21"/>
                <w:szCs w:val="21"/>
              </w:rPr>
            </w:pPr>
            <w:r>
              <w:rPr>
                <w:rFonts w:ascii="宋体" w:eastAsia="宋体" w:hAnsi="宋体" w:hint="eastAsia"/>
                <w:snapToGrid w:val="0"/>
                <w:color w:val="000000"/>
                <w:sz w:val="21"/>
                <w:szCs w:val="21"/>
              </w:rPr>
              <w:t>100,000</w:t>
            </w:r>
            <w:r w:rsidRPr="00EA388C">
              <w:rPr>
                <w:rFonts w:ascii="宋体" w:eastAsia="宋体" w:hAnsi="宋体" w:cs="宋体" w:hint="eastAsia"/>
                <w:snapToGrid w:val="0"/>
                <w:color w:val="000000"/>
                <w:kern w:val="0"/>
                <w:sz w:val="21"/>
                <w:szCs w:val="21"/>
              </w:rPr>
              <w:t>×</w:t>
            </w:r>
            <w:r w:rsidR="00445144">
              <w:rPr>
                <w:rFonts w:ascii="宋体" w:eastAsia="宋体" w:hAnsi="宋体" w:cs="宋体" w:hint="eastAsia"/>
                <w:snapToGrid w:val="0"/>
                <w:color w:val="000000"/>
                <w:kern w:val="0"/>
                <w:sz w:val="21"/>
                <w:szCs w:val="21"/>
              </w:rPr>
              <w:t>6.0</w:t>
            </w:r>
            <w:r>
              <w:rPr>
                <w:rFonts w:ascii="宋体" w:eastAsia="宋体" w:hAnsi="宋体" w:cs="宋体" w:hint="eastAsia"/>
                <w:snapToGrid w:val="0"/>
                <w:color w:val="000000"/>
                <w:kern w:val="0"/>
                <w:sz w:val="21"/>
                <w:szCs w:val="21"/>
              </w:rPr>
              <w:t>0%</w:t>
            </w:r>
            <w:r w:rsidRPr="00EA388C">
              <w:rPr>
                <w:rFonts w:ascii="宋体" w:eastAsia="宋体" w:hAnsi="宋体" w:cs="宋体" w:hint="eastAsia"/>
                <w:snapToGrid w:val="0"/>
                <w:color w:val="000000"/>
                <w:kern w:val="0"/>
                <w:sz w:val="21"/>
                <w:szCs w:val="21"/>
              </w:rPr>
              <w:t>×</w:t>
            </w:r>
            <w:r w:rsidR="00144749">
              <w:rPr>
                <w:rFonts w:ascii="宋体" w:eastAsia="宋体" w:hAnsi="宋体" w:cs="宋体" w:hint="eastAsia"/>
                <w:snapToGrid w:val="0"/>
                <w:color w:val="000000"/>
                <w:kern w:val="0"/>
                <w:sz w:val="21"/>
                <w:szCs w:val="21"/>
              </w:rPr>
              <w:t>18</w:t>
            </w:r>
            <w:r w:rsidR="00021501">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/365</w:t>
            </w:r>
          </w:p>
          <w:p w:rsidR="003C4B9D" w:rsidRPr="00A94DED" w:rsidRDefault="003C4B9D" w:rsidP="00021501">
            <w:pPr>
              <w:jc w:val="cente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w:t>
            </w:r>
            <w:r w:rsidR="00021501">
              <w:rPr>
                <w:rFonts w:ascii="宋体" w:eastAsia="宋体" w:hAnsi="宋体" w:cs="宋体" w:hint="eastAsia"/>
                <w:snapToGrid w:val="0"/>
                <w:color w:val="000000"/>
                <w:kern w:val="0"/>
                <w:sz w:val="21"/>
                <w:szCs w:val="21"/>
              </w:rPr>
              <w:t>2975.34</w:t>
            </w:r>
          </w:p>
        </w:tc>
        <w:tc>
          <w:tcPr>
            <w:tcW w:w="1701" w:type="dxa"/>
          </w:tcPr>
          <w:p w:rsidR="003C4B9D" w:rsidRPr="000D2FD8" w:rsidRDefault="00445144" w:rsidP="00D42D8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6.0</w:t>
            </w:r>
            <w:r w:rsidR="00D42D88">
              <w:rPr>
                <w:rFonts w:ascii="宋体" w:eastAsia="宋体" w:hAnsi="宋体" w:hint="eastAsia"/>
                <w:snapToGrid w:val="0"/>
                <w:color w:val="000000"/>
                <w:sz w:val="21"/>
                <w:szCs w:val="21"/>
              </w:rPr>
              <w:t>0</w:t>
            </w:r>
            <w:r w:rsidR="003C4B9D" w:rsidRPr="000D2FD8">
              <w:rPr>
                <w:rFonts w:ascii="宋体" w:eastAsia="宋体" w:hAnsi="宋体" w:hint="eastAsia"/>
                <w:snapToGrid w:val="0"/>
                <w:color w:val="000000"/>
                <w:sz w:val="21"/>
                <w:szCs w:val="21"/>
              </w:rPr>
              <w:t>％</w:t>
            </w:r>
          </w:p>
        </w:tc>
      </w:tr>
      <w:tr w:rsidR="003C4B9D" w:rsidRPr="005E4FA4" w:rsidTr="003608F9">
        <w:tc>
          <w:tcPr>
            <w:tcW w:w="1809" w:type="dxa"/>
          </w:tcPr>
          <w:p w:rsidR="003C4B9D" w:rsidRPr="00D12E2C" w:rsidRDefault="003C4B9D" w:rsidP="007D17AB">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情景二：一般情况</w:t>
            </w:r>
          </w:p>
        </w:tc>
        <w:tc>
          <w:tcPr>
            <w:tcW w:w="2268" w:type="dxa"/>
            <w:vAlign w:val="center"/>
          </w:tcPr>
          <w:p w:rsidR="003C4B9D" w:rsidRPr="00A94DED" w:rsidRDefault="003C4B9D" w:rsidP="003C4B9D">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观察期内任何一个观察日，挂钩标的收盘价格曾低于下限1或高于上限1，但一直维持在区间2以内</w:t>
            </w:r>
          </w:p>
        </w:tc>
        <w:tc>
          <w:tcPr>
            <w:tcW w:w="3402" w:type="dxa"/>
            <w:vAlign w:val="center"/>
          </w:tcPr>
          <w:p w:rsidR="003C4B9D" w:rsidRDefault="003C4B9D" w:rsidP="003C4B9D">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100,000</w:t>
            </w:r>
            <w:r w:rsidRPr="003C4B9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2.80</w:t>
            </w:r>
            <w:r w:rsidRPr="003C4B9D">
              <w:rPr>
                <w:rFonts w:ascii="宋体" w:eastAsia="宋体" w:hAnsi="宋体" w:hint="eastAsia"/>
                <w:snapToGrid w:val="0"/>
                <w:color w:val="000000"/>
                <w:sz w:val="21"/>
                <w:szCs w:val="21"/>
              </w:rPr>
              <w:t>%×</w:t>
            </w:r>
            <w:r w:rsidR="00144749">
              <w:rPr>
                <w:rFonts w:ascii="宋体" w:eastAsia="宋体" w:hAnsi="宋体" w:hint="eastAsia"/>
                <w:snapToGrid w:val="0"/>
                <w:color w:val="000000"/>
                <w:sz w:val="21"/>
                <w:szCs w:val="21"/>
              </w:rPr>
              <w:t>18</w:t>
            </w:r>
            <w:r w:rsidR="00021501">
              <w:rPr>
                <w:rFonts w:ascii="宋体" w:eastAsia="宋体" w:hAnsi="宋体" w:hint="eastAsia"/>
                <w:snapToGrid w:val="0"/>
                <w:color w:val="000000"/>
                <w:sz w:val="21"/>
                <w:szCs w:val="21"/>
              </w:rPr>
              <w:t>1</w:t>
            </w:r>
            <w:r w:rsidRPr="003C4B9D">
              <w:rPr>
                <w:rFonts w:ascii="宋体" w:eastAsia="宋体" w:hAnsi="宋体" w:hint="eastAsia"/>
                <w:snapToGrid w:val="0"/>
                <w:color w:val="000000"/>
                <w:sz w:val="21"/>
                <w:szCs w:val="21"/>
              </w:rPr>
              <w:t>/365</w:t>
            </w:r>
          </w:p>
          <w:p w:rsidR="00144749" w:rsidRPr="00A94DED" w:rsidRDefault="003C4B9D" w:rsidP="00021501">
            <w:pPr>
              <w:jc w:val="center"/>
              <w:rPr>
                <w:rFonts w:ascii="宋体" w:eastAsia="宋体" w:hAnsi="宋体"/>
                <w:snapToGrid w:val="0"/>
                <w:color w:val="000000"/>
                <w:sz w:val="21"/>
                <w:szCs w:val="21"/>
              </w:rPr>
            </w:pPr>
            <w:r w:rsidRPr="003C4B9D">
              <w:rPr>
                <w:rFonts w:ascii="宋体" w:eastAsia="宋体" w:hAnsi="宋体" w:hint="eastAsia"/>
                <w:snapToGrid w:val="0"/>
                <w:color w:val="000000"/>
                <w:sz w:val="21"/>
                <w:szCs w:val="21"/>
              </w:rPr>
              <w:t>=</w:t>
            </w:r>
            <w:r w:rsidR="00021501">
              <w:rPr>
                <w:rFonts w:ascii="宋体" w:eastAsia="宋体" w:hAnsi="宋体" w:hint="eastAsia"/>
                <w:snapToGrid w:val="0"/>
                <w:color w:val="000000"/>
                <w:sz w:val="21"/>
                <w:szCs w:val="21"/>
              </w:rPr>
              <w:t>1388.49</w:t>
            </w:r>
          </w:p>
        </w:tc>
        <w:tc>
          <w:tcPr>
            <w:tcW w:w="1701" w:type="dxa"/>
          </w:tcPr>
          <w:p w:rsidR="003C4B9D"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3C4B9D" w:rsidRPr="000D2FD8"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2.80</w:t>
            </w:r>
            <w:r w:rsidRPr="000D2FD8">
              <w:rPr>
                <w:rFonts w:ascii="宋体" w:eastAsia="宋体" w:hAnsi="宋体" w:hint="eastAsia"/>
                <w:snapToGrid w:val="0"/>
                <w:color w:val="000000"/>
                <w:sz w:val="21"/>
                <w:szCs w:val="21"/>
              </w:rPr>
              <w:t>％</w:t>
            </w:r>
          </w:p>
        </w:tc>
      </w:tr>
      <w:tr w:rsidR="003C4B9D" w:rsidRPr="005E4FA4" w:rsidTr="003C4B9D">
        <w:tc>
          <w:tcPr>
            <w:tcW w:w="1809" w:type="dxa"/>
          </w:tcPr>
          <w:p w:rsidR="003C4B9D" w:rsidRPr="00D12E2C" w:rsidRDefault="003C4B9D" w:rsidP="007D17AB">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情景三：最差情况</w:t>
            </w:r>
          </w:p>
        </w:tc>
        <w:tc>
          <w:tcPr>
            <w:tcW w:w="2268" w:type="dxa"/>
            <w:vAlign w:val="center"/>
          </w:tcPr>
          <w:p w:rsidR="003C4B9D" w:rsidRPr="00A94DED" w:rsidDel="001E475B" w:rsidRDefault="003C4B9D" w:rsidP="003C4B9D">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观察期内任何一个观察日，挂钩标的收盘价格曾低于下限2或高于上限2</w:t>
            </w:r>
            <w:r w:rsidRPr="00A94DED" w:rsidDel="001E475B">
              <w:rPr>
                <w:rFonts w:ascii="宋体" w:eastAsia="宋体" w:hAnsi="宋体"/>
                <w:snapToGrid w:val="0"/>
                <w:color w:val="000000"/>
                <w:sz w:val="21"/>
                <w:szCs w:val="21"/>
              </w:rPr>
              <w:t xml:space="preserve"> </w:t>
            </w:r>
          </w:p>
        </w:tc>
        <w:tc>
          <w:tcPr>
            <w:tcW w:w="3402" w:type="dxa"/>
            <w:vAlign w:val="center"/>
          </w:tcPr>
          <w:p w:rsidR="003C4B9D" w:rsidRDefault="003C4B9D" w:rsidP="003C4B9D">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100,000</w:t>
            </w:r>
            <w:r w:rsidRPr="003C4B9D">
              <w:rPr>
                <w:rFonts w:ascii="宋体" w:eastAsia="宋体" w:hAnsi="宋体" w:hint="eastAsia"/>
                <w:snapToGrid w:val="0"/>
                <w:color w:val="000000"/>
                <w:sz w:val="21"/>
                <w:szCs w:val="21"/>
              </w:rPr>
              <w:t>×0.50%×</w:t>
            </w:r>
            <w:r w:rsidR="00144749">
              <w:rPr>
                <w:rFonts w:ascii="宋体" w:eastAsia="宋体" w:hAnsi="宋体" w:hint="eastAsia"/>
                <w:snapToGrid w:val="0"/>
                <w:color w:val="000000"/>
                <w:sz w:val="21"/>
                <w:szCs w:val="21"/>
              </w:rPr>
              <w:t>18</w:t>
            </w:r>
            <w:r w:rsidR="00021501">
              <w:rPr>
                <w:rFonts w:ascii="宋体" w:eastAsia="宋体" w:hAnsi="宋体" w:hint="eastAsia"/>
                <w:snapToGrid w:val="0"/>
                <w:color w:val="000000"/>
                <w:sz w:val="21"/>
                <w:szCs w:val="21"/>
              </w:rPr>
              <w:t>1</w:t>
            </w:r>
            <w:r w:rsidRPr="003C4B9D">
              <w:rPr>
                <w:rFonts w:ascii="宋体" w:eastAsia="宋体" w:hAnsi="宋体" w:hint="eastAsia"/>
                <w:snapToGrid w:val="0"/>
                <w:color w:val="000000"/>
                <w:sz w:val="21"/>
                <w:szCs w:val="21"/>
              </w:rPr>
              <w:t>/365</w:t>
            </w:r>
          </w:p>
          <w:p w:rsidR="003C4B9D" w:rsidRPr="00A94DED" w:rsidDel="001E475B" w:rsidRDefault="003C4B9D" w:rsidP="00021501">
            <w:pPr>
              <w:jc w:val="center"/>
              <w:rPr>
                <w:rFonts w:ascii="宋体" w:eastAsia="宋体" w:hAnsi="宋体"/>
                <w:snapToGrid w:val="0"/>
                <w:color w:val="000000"/>
                <w:sz w:val="21"/>
                <w:szCs w:val="21"/>
              </w:rPr>
            </w:pPr>
            <w:r w:rsidRPr="003C4B9D">
              <w:rPr>
                <w:rFonts w:ascii="宋体" w:eastAsia="宋体" w:hAnsi="宋体" w:hint="eastAsia"/>
                <w:snapToGrid w:val="0"/>
                <w:color w:val="000000"/>
                <w:sz w:val="21"/>
                <w:szCs w:val="21"/>
              </w:rPr>
              <w:t>=</w:t>
            </w:r>
            <w:r w:rsidR="00144749">
              <w:rPr>
                <w:rFonts w:ascii="宋体" w:eastAsia="宋体" w:hAnsi="宋体" w:hint="eastAsia"/>
                <w:snapToGrid w:val="0"/>
                <w:color w:val="000000"/>
                <w:sz w:val="21"/>
                <w:szCs w:val="21"/>
              </w:rPr>
              <w:t>2</w:t>
            </w:r>
            <w:r w:rsidR="00021501">
              <w:rPr>
                <w:rFonts w:ascii="宋体" w:eastAsia="宋体" w:hAnsi="宋体" w:hint="eastAsia"/>
                <w:snapToGrid w:val="0"/>
                <w:color w:val="000000"/>
                <w:sz w:val="21"/>
                <w:szCs w:val="21"/>
              </w:rPr>
              <w:t>47.94</w:t>
            </w:r>
          </w:p>
        </w:tc>
        <w:tc>
          <w:tcPr>
            <w:tcW w:w="1701" w:type="dxa"/>
            <w:vAlign w:val="center"/>
          </w:tcPr>
          <w:p w:rsidR="003C4B9D" w:rsidRPr="000D2FD8" w:rsidRDefault="003C4B9D" w:rsidP="007D17AB">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0.50%</w:t>
            </w:r>
          </w:p>
        </w:tc>
      </w:tr>
    </w:tbl>
    <w:p w:rsidR="00151D15" w:rsidRPr="00151D15" w:rsidRDefault="00151D15" w:rsidP="00151D1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C4B9D" w:rsidRPr="00EA388C" w:rsidRDefault="00151D15" w:rsidP="001A4189">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本产品最不利的投资情况和投资结果为，投资者持有产品到期，仅取回投资本金及最低收益。投资者亦需注意，若因应投资者要求而提早终止本产品，则投资者可能无法收回全部投资本金。</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提前终止理财或</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计算到期收益，并在</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4760D8"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lastRenderedPageBreak/>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2050AC">
        <w:rPr>
          <w:rFonts w:ascii="宋体" w:eastAsia="宋体" w:hAnsi="宋体" w:hint="eastAsia"/>
          <w:b/>
          <w:snapToGrid w:val="0"/>
          <w:color w:val="000000"/>
          <w:sz w:val="21"/>
          <w:szCs w:val="21"/>
        </w:rPr>
        <w:t>平安财富-结构类（100%保本挂钩ETF）资产管理类2013年132期人民币理财产品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lastRenderedPageBreak/>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445144"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445144"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050AC">
        <w:rPr>
          <w:rFonts w:eastAsia="楷体_GB2312" w:hAnsi="宋体" w:cs="宋体" w:hint="eastAsia"/>
          <w:b/>
          <w:bCs/>
          <w:kern w:val="0"/>
          <w:sz w:val="24"/>
          <w:szCs w:val="21"/>
        </w:rPr>
        <w:t>平安财富</w:t>
      </w:r>
      <w:r w:rsidR="002050AC">
        <w:rPr>
          <w:rFonts w:eastAsia="楷体_GB2312" w:hAnsi="宋体" w:cs="宋体" w:hint="eastAsia"/>
          <w:b/>
          <w:bCs/>
          <w:kern w:val="0"/>
          <w:sz w:val="24"/>
          <w:szCs w:val="21"/>
        </w:rPr>
        <w:t>-</w:t>
      </w:r>
      <w:r w:rsidR="002050AC">
        <w:rPr>
          <w:rFonts w:eastAsia="楷体_GB2312" w:hAnsi="宋体" w:cs="宋体" w:hint="eastAsia"/>
          <w:b/>
          <w:bCs/>
          <w:kern w:val="0"/>
          <w:sz w:val="24"/>
          <w:szCs w:val="21"/>
        </w:rPr>
        <w:t>结构类（</w:t>
      </w:r>
      <w:r w:rsidR="002050AC">
        <w:rPr>
          <w:rFonts w:eastAsia="楷体_GB2312" w:hAnsi="宋体" w:cs="宋体" w:hint="eastAsia"/>
          <w:b/>
          <w:bCs/>
          <w:kern w:val="0"/>
          <w:sz w:val="24"/>
          <w:szCs w:val="21"/>
        </w:rPr>
        <w:t>100%</w:t>
      </w:r>
      <w:r w:rsidR="002050AC">
        <w:rPr>
          <w:rFonts w:eastAsia="楷体_GB2312" w:hAnsi="宋体" w:cs="宋体" w:hint="eastAsia"/>
          <w:b/>
          <w:bCs/>
          <w:kern w:val="0"/>
          <w:sz w:val="24"/>
          <w:szCs w:val="21"/>
        </w:rPr>
        <w:t>保本挂钩</w:t>
      </w:r>
      <w:r w:rsidR="002050AC">
        <w:rPr>
          <w:rFonts w:eastAsia="楷体_GB2312" w:hAnsi="宋体" w:cs="宋体" w:hint="eastAsia"/>
          <w:b/>
          <w:bCs/>
          <w:kern w:val="0"/>
          <w:sz w:val="24"/>
          <w:szCs w:val="21"/>
        </w:rPr>
        <w:t>ETF</w:t>
      </w:r>
      <w:r w:rsidR="002050AC">
        <w:rPr>
          <w:rFonts w:eastAsia="楷体_GB2312" w:hAnsi="宋体" w:cs="宋体" w:hint="eastAsia"/>
          <w:b/>
          <w:bCs/>
          <w:kern w:val="0"/>
          <w:sz w:val="24"/>
          <w:szCs w:val="21"/>
        </w:rPr>
        <w:t>）资产管理类</w:t>
      </w:r>
      <w:r w:rsidR="002050AC">
        <w:rPr>
          <w:rFonts w:eastAsia="楷体_GB2312" w:hAnsi="宋体" w:cs="宋体" w:hint="eastAsia"/>
          <w:b/>
          <w:bCs/>
          <w:kern w:val="0"/>
          <w:sz w:val="24"/>
          <w:szCs w:val="21"/>
        </w:rPr>
        <w:t>2013</w:t>
      </w:r>
      <w:r w:rsidR="002050AC">
        <w:rPr>
          <w:rFonts w:eastAsia="楷体_GB2312" w:hAnsi="宋体" w:cs="宋体" w:hint="eastAsia"/>
          <w:b/>
          <w:bCs/>
          <w:kern w:val="0"/>
          <w:sz w:val="24"/>
          <w:szCs w:val="21"/>
        </w:rPr>
        <w:t>年</w:t>
      </w:r>
      <w:r w:rsidR="002050AC">
        <w:rPr>
          <w:rFonts w:eastAsia="楷体_GB2312" w:hAnsi="宋体" w:cs="宋体" w:hint="eastAsia"/>
          <w:b/>
          <w:bCs/>
          <w:kern w:val="0"/>
          <w:sz w:val="24"/>
          <w:szCs w:val="21"/>
        </w:rPr>
        <w:t>132</w:t>
      </w:r>
      <w:r w:rsidR="002050AC">
        <w:rPr>
          <w:rFonts w:eastAsia="楷体_GB2312" w:hAnsi="宋体" w:cs="宋体" w:hint="eastAsia"/>
          <w:b/>
          <w:bCs/>
          <w:kern w:val="0"/>
          <w:sz w:val="24"/>
          <w:szCs w:val="21"/>
        </w:rPr>
        <w:t>期人民币理财产品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445144"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097" w:rsidRDefault="00AA1097" w:rsidP="004B657F">
      <w:r>
        <w:separator/>
      </w:r>
    </w:p>
  </w:endnote>
  <w:endnote w:type="continuationSeparator" w:id="1">
    <w:p w:rsidR="00AA1097" w:rsidRDefault="00AA1097"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97BC6"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97BC6"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216D7E">
      <w:rPr>
        <w:rStyle w:val="ac"/>
        <w:noProof/>
      </w:rPr>
      <w:t>1</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97BC6"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97BC6"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3C4B9D">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097" w:rsidRDefault="00AA1097" w:rsidP="004B657F">
      <w:r>
        <w:separator/>
      </w:r>
    </w:p>
  </w:footnote>
  <w:footnote w:type="continuationSeparator" w:id="1">
    <w:p w:rsidR="00AA1097" w:rsidRDefault="00AA1097"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500A"/>
    <w:rsid w:val="000071C8"/>
    <w:rsid w:val="000143FA"/>
    <w:rsid w:val="00017071"/>
    <w:rsid w:val="000178E3"/>
    <w:rsid w:val="000179B9"/>
    <w:rsid w:val="00021501"/>
    <w:rsid w:val="0002668C"/>
    <w:rsid w:val="000337EF"/>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21B"/>
    <w:rsid w:val="000751B5"/>
    <w:rsid w:val="00082148"/>
    <w:rsid w:val="00082515"/>
    <w:rsid w:val="00086724"/>
    <w:rsid w:val="000905EA"/>
    <w:rsid w:val="00094F08"/>
    <w:rsid w:val="00094FA4"/>
    <w:rsid w:val="000952DA"/>
    <w:rsid w:val="00095BC3"/>
    <w:rsid w:val="000A4C90"/>
    <w:rsid w:val="000A534A"/>
    <w:rsid w:val="000A7E41"/>
    <w:rsid w:val="000B612A"/>
    <w:rsid w:val="000B63BA"/>
    <w:rsid w:val="000B64BC"/>
    <w:rsid w:val="000C0661"/>
    <w:rsid w:val="000C27A1"/>
    <w:rsid w:val="000C5ECF"/>
    <w:rsid w:val="000C7047"/>
    <w:rsid w:val="000C70D2"/>
    <w:rsid w:val="000C7E5C"/>
    <w:rsid w:val="000D1B61"/>
    <w:rsid w:val="000D2567"/>
    <w:rsid w:val="000D2FD8"/>
    <w:rsid w:val="000E04C2"/>
    <w:rsid w:val="000E1F5D"/>
    <w:rsid w:val="000E4BC1"/>
    <w:rsid w:val="000E60F4"/>
    <w:rsid w:val="000F5E78"/>
    <w:rsid w:val="001022F8"/>
    <w:rsid w:val="001056E3"/>
    <w:rsid w:val="00105FEA"/>
    <w:rsid w:val="001111E6"/>
    <w:rsid w:val="00114215"/>
    <w:rsid w:val="001152D4"/>
    <w:rsid w:val="00115692"/>
    <w:rsid w:val="0012536A"/>
    <w:rsid w:val="001266FE"/>
    <w:rsid w:val="00131544"/>
    <w:rsid w:val="0013215F"/>
    <w:rsid w:val="0014274E"/>
    <w:rsid w:val="00142F8D"/>
    <w:rsid w:val="00144749"/>
    <w:rsid w:val="00144E2E"/>
    <w:rsid w:val="00151D15"/>
    <w:rsid w:val="00155871"/>
    <w:rsid w:val="0016078F"/>
    <w:rsid w:val="001615B5"/>
    <w:rsid w:val="001636B0"/>
    <w:rsid w:val="00174805"/>
    <w:rsid w:val="001758D2"/>
    <w:rsid w:val="001767DE"/>
    <w:rsid w:val="00182CAC"/>
    <w:rsid w:val="00182DCA"/>
    <w:rsid w:val="001836E7"/>
    <w:rsid w:val="001840F4"/>
    <w:rsid w:val="001843CE"/>
    <w:rsid w:val="00193B65"/>
    <w:rsid w:val="001959FA"/>
    <w:rsid w:val="001A0815"/>
    <w:rsid w:val="001A0B81"/>
    <w:rsid w:val="001A4189"/>
    <w:rsid w:val="001A5CE2"/>
    <w:rsid w:val="001B210F"/>
    <w:rsid w:val="001B264F"/>
    <w:rsid w:val="001B2799"/>
    <w:rsid w:val="001B37D1"/>
    <w:rsid w:val="001B6250"/>
    <w:rsid w:val="001B62C6"/>
    <w:rsid w:val="001C1189"/>
    <w:rsid w:val="001C3314"/>
    <w:rsid w:val="001C5650"/>
    <w:rsid w:val="001C7FB4"/>
    <w:rsid w:val="001D2E4B"/>
    <w:rsid w:val="001D3F61"/>
    <w:rsid w:val="001D552E"/>
    <w:rsid w:val="001D5548"/>
    <w:rsid w:val="001D727A"/>
    <w:rsid w:val="001D72E9"/>
    <w:rsid w:val="001E13C6"/>
    <w:rsid w:val="001E33E7"/>
    <w:rsid w:val="001E6D54"/>
    <w:rsid w:val="001E774E"/>
    <w:rsid w:val="001F0222"/>
    <w:rsid w:val="001F1070"/>
    <w:rsid w:val="001F1448"/>
    <w:rsid w:val="001F1E50"/>
    <w:rsid w:val="001F2C01"/>
    <w:rsid w:val="001F4A33"/>
    <w:rsid w:val="001F722E"/>
    <w:rsid w:val="002050AC"/>
    <w:rsid w:val="00206038"/>
    <w:rsid w:val="0021020A"/>
    <w:rsid w:val="00211B89"/>
    <w:rsid w:val="0021512B"/>
    <w:rsid w:val="0021533F"/>
    <w:rsid w:val="00216D7E"/>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415F"/>
    <w:rsid w:val="00274D7D"/>
    <w:rsid w:val="00275EDE"/>
    <w:rsid w:val="00276096"/>
    <w:rsid w:val="0027663C"/>
    <w:rsid w:val="00281018"/>
    <w:rsid w:val="002876AB"/>
    <w:rsid w:val="002901B3"/>
    <w:rsid w:val="002921B9"/>
    <w:rsid w:val="00293D91"/>
    <w:rsid w:val="0029727E"/>
    <w:rsid w:val="002A06A2"/>
    <w:rsid w:val="002A16B6"/>
    <w:rsid w:val="002A52EC"/>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07FD"/>
    <w:rsid w:val="00302707"/>
    <w:rsid w:val="00302CE8"/>
    <w:rsid w:val="00302E10"/>
    <w:rsid w:val="00303765"/>
    <w:rsid w:val="00304EE2"/>
    <w:rsid w:val="00307AC0"/>
    <w:rsid w:val="00310A23"/>
    <w:rsid w:val="00312F3C"/>
    <w:rsid w:val="00313062"/>
    <w:rsid w:val="00315646"/>
    <w:rsid w:val="00316476"/>
    <w:rsid w:val="0032083D"/>
    <w:rsid w:val="00323B9A"/>
    <w:rsid w:val="00323E0F"/>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4F37"/>
    <w:rsid w:val="00375032"/>
    <w:rsid w:val="003750ED"/>
    <w:rsid w:val="00381776"/>
    <w:rsid w:val="0038286E"/>
    <w:rsid w:val="00383286"/>
    <w:rsid w:val="00384733"/>
    <w:rsid w:val="00384992"/>
    <w:rsid w:val="0038570B"/>
    <w:rsid w:val="003869DA"/>
    <w:rsid w:val="003912AC"/>
    <w:rsid w:val="003921C5"/>
    <w:rsid w:val="00392E31"/>
    <w:rsid w:val="0039422C"/>
    <w:rsid w:val="0039740F"/>
    <w:rsid w:val="003A051F"/>
    <w:rsid w:val="003A13C7"/>
    <w:rsid w:val="003A2A75"/>
    <w:rsid w:val="003A4479"/>
    <w:rsid w:val="003A59D1"/>
    <w:rsid w:val="003B09AD"/>
    <w:rsid w:val="003B295E"/>
    <w:rsid w:val="003B2B3C"/>
    <w:rsid w:val="003B5703"/>
    <w:rsid w:val="003B58DF"/>
    <w:rsid w:val="003B5EC7"/>
    <w:rsid w:val="003B7484"/>
    <w:rsid w:val="003B7D83"/>
    <w:rsid w:val="003C4B9D"/>
    <w:rsid w:val="003C5514"/>
    <w:rsid w:val="003C5D83"/>
    <w:rsid w:val="003D0DE1"/>
    <w:rsid w:val="003D21B8"/>
    <w:rsid w:val="003D2967"/>
    <w:rsid w:val="003D6E56"/>
    <w:rsid w:val="003E1110"/>
    <w:rsid w:val="003E1A8C"/>
    <w:rsid w:val="003E1D2D"/>
    <w:rsid w:val="003E6AAF"/>
    <w:rsid w:val="003E75AC"/>
    <w:rsid w:val="003E7D4C"/>
    <w:rsid w:val="003F25A9"/>
    <w:rsid w:val="003F412E"/>
    <w:rsid w:val="003F61D2"/>
    <w:rsid w:val="003F7466"/>
    <w:rsid w:val="003F7E28"/>
    <w:rsid w:val="0040090F"/>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144"/>
    <w:rsid w:val="0044557C"/>
    <w:rsid w:val="00451D06"/>
    <w:rsid w:val="00451D3B"/>
    <w:rsid w:val="00455379"/>
    <w:rsid w:val="0045705B"/>
    <w:rsid w:val="00460674"/>
    <w:rsid w:val="0046339A"/>
    <w:rsid w:val="004640BC"/>
    <w:rsid w:val="00471FE6"/>
    <w:rsid w:val="004723E3"/>
    <w:rsid w:val="004760CA"/>
    <w:rsid w:val="004760D8"/>
    <w:rsid w:val="00477550"/>
    <w:rsid w:val="00481223"/>
    <w:rsid w:val="00481F61"/>
    <w:rsid w:val="00486228"/>
    <w:rsid w:val="004869D0"/>
    <w:rsid w:val="00486C7E"/>
    <w:rsid w:val="00487092"/>
    <w:rsid w:val="0049251A"/>
    <w:rsid w:val="00493AE2"/>
    <w:rsid w:val="00494C7C"/>
    <w:rsid w:val="00495349"/>
    <w:rsid w:val="00496913"/>
    <w:rsid w:val="00496A2C"/>
    <w:rsid w:val="004971BC"/>
    <w:rsid w:val="0049786E"/>
    <w:rsid w:val="004A0408"/>
    <w:rsid w:val="004A66F3"/>
    <w:rsid w:val="004A7753"/>
    <w:rsid w:val="004B2353"/>
    <w:rsid w:val="004B3FCB"/>
    <w:rsid w:val="004B5191"/>
    <w:rsid w:val="004B657F"/>
    <w:rsid w:val="004B6915"/>
    <w:rsid w:val="004C3041"/>
    <w:rsid w:val="004C61A0"/>
    <w:rsid w:val="004D28D6"/>
    <w:rsid w:val="004D5A4D"/>
    <w:rsid w:val="004D5F0B"/>
    <w:rsid w:val="004D773A"/>
    <w:rsid w:val="004D7E63"/>
    <w:rsid w:val="004E259B"/>
    <w:rsid w:val="004E2944"/>
    <w:rsid w:val="004E2C4D"/>
    <w:rsid w:val="004E5241"/>
    <w:rsid w:val="004E7ED8"/>
    <w:rsid w:val="004F1642"/>
    <w:rsid w:val="004F16FE"/>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336E"/>
    <w:rsid w:val="005461AD"/>
    <w:rsid w:val="00546563"/>
    <w:rsid w:val="00547248"/>
    <w:rsid w:val="00551AD1"/>
    <w:rsid w:val="00551DE2"/>
    <w:rsid w:val="005556F7"/>
    <w:rsid w:val="005561D2"/>
    <w:rsid w:val="00556874"/>
    <w:rsid w:val="00557CA6"/>
    <w:rsid w:val="00560ECF"/>
    <w:rsid w:val="0056150C"/>
    <w:rsid w:val="00563048"/>
    <w:rsid w:val="00563F8B"/>
    <w:rsid w:val="005640C7"/>
    <w:rsid w:val="00566FA4"/>
    <w:rsid w:val="005705EA"/>
    <w:rsid w:val="00571F14"/>
    <w:rsid w:val="0057332B"/>
    <w:rsid w:val="00576212"/>
    <w:rsid w:val="005763CF"/>
    <w:rsid w:val="005822C1"/>
    <w:rsid w:val="00583CC8"/>
    <w:rsid w:val="00583CCD"/>
    <w:rsid w:val="00593625"/>
    <w:rsid w:val="00597CE3"/>
    <w:rsid w:val="005A213C"/>
    <w:rsid w:val="005A52EB"/>
    <w:rsid w:val="005A54DF"/>
    <w:rsid w:val="005A6989"/>
    <w:rsid w:val="005B00F3"/>
    <w:rsid w:val="005B5647"/>
    <w:rsid w:val="005B6B2A"/>
    <w:rsid w:val="005B7CCF"/>
    <w:rsid w:val="005C0ED3"/>
    <w:rsid w:val="005C1A5C"/>
    <w:rsid w:val="005D04CB"/>
    <w:rsid w:val="005D5DD2"/>
    <w:rsid w:val="005E34CB"/>
    <w:rsid w:val="005E42FA"/>
    <w:rsid w:val="005E5BB3"/>
    <w:rsid w:val="005E7039"/>
    <w:rsid w:val="005F3CB8"/>
    <w:rsid w:val="005F3E98"/>
    <w:rsid w:val="00600213"/>
    <w:rsid w:val="00614058"/>
    <w:rsid w:val="006170F7"/>
    <w:rsid w:val="0061739E"/>
    <w:rsid w:val="00617A1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FEC"/>
    <w:rsid w:val="00671BC0"/>
    <w:rsid w:val="00672091"/>
    <w:rsid w:val="00673856"/>
    <w:rsid w:val="006740D9"/>
    <w:rsid w:val="00676BC0"/>
    <w:rsid w:val="00680207"/>
    <w:rsid w:val="006842F7"/>
    <w:rsid w:val="00690D68"/>
    <w:rsid w:val="006946DC"/>
    <w:rsid w:val="006A0498"/>
    <w:rsid w:val="006A2828"/>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C1A"/>
    <w:rsid w:val="00711B1B"/>
    <w:rsid w:val="00715752"/>
    <w:rsid w:val="00721311"/>
    <w:rsid w:val="007223FA"/>
    <w:rsid w:val="00722A7F"/>
    <w:rsid w:val="007235B5"/>
    <w:rsid w:val="0072480C"/>
    <w:rsid w:val="00730F49"/>
    <w:rsid w:val="00732481"/>
    <w:rsid w:val="00733176"/>
    <w:rsid w:val="0074726A"/>
    <w:rsid w:val="00750D54"/>
    <w:rsid w:val="0075670E"/>
    <w:rsid w:val="00756948"/>
    <w:rsid w:val="00763302"/>
    <w:rsid w:val="007653E0"/>
    <w:rsid w:val="007666CF"/>
    <w:rsid w:val="00766DB3"/>
    <w:rsid w:val="007712A0"/>
    <w:rsid w:val="00773669"/>
    <w:rsid w:val="007737D7"/>
    <w:rsid w:val="00774AAD"/>
    <w:rsid w:val="00775A54"/>
    <w:rsid w:val="007817AD"/>
    <w:rsid w:val="00786798"/>
    <w:rsid w:val="00786B51"/>
    <w:rsid w:val="007927B9"/>
    <w:rsid w:val="0079505A"/>
    <w:rsid w:val="00797B40"/>
    <w:rsid w:val="007A30ED"/>
    <w:rsid w:val="007A6E3E"/>
    <w:rsid w:val="007A76D0"/>
    <w:rsid w:val="007A7D16"/>
    <w:rsid w:val="007C33D4"/>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4656F"/>
    <w:rsid w:val="008549C0"/>
    <w:rsid w:val="00855F31"/>
    <w:rsid w:val="00857BCB"/>
    <w:rsid w:val="0086207A"/>
    <w:rsid w:val="008652C0"/>
    <w:rsid w:val="00866CC9"/>
    <w:rsid w:val="00870530"/>
    <w:rsid w:val="00873136"/>
    <w:rsid w:val="00873936"/>
    <w:rsid w:val="00875940"/>
    <w:rsid w:val="00875FCC"/>
    <w:rsid w:val="0088005D"/>
    <w:rsid w:val="0088021E"/>
    <w:rsid w:val="00880973"/>
    <w:rsid w:val="00881692"/>
    <w:rsid w:val="00885C6B"/>
    <w:rsid w:val="008911CC"/>
    <w:rsid w:val="008A019E"/>
    <w:rsid w:val="008A11B5"/>
    <w:rsid w:val="008A62DB"/>
    <w:rsid w:val="008A7018"/>
    <w:rsid w:val="008A781A"/>
    <w:rsid w:val="008B1C6A"/>
    <w:rsid w:val="008B2E8B"/>
    <w:rsid w:val="008B3FCD"/>
    <w:rsid w:val="008B4661"/>
    <w:rsid w:val="008C0429"/>
    <w:rsid w:val="008C0943"/>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6FEA"/>
    <w:rsid w:val="009274CD"/>
    <w:rsid w:val="009323FD"/>
    <w:rsid w:val="00932E7E"/>
    <w:rsid w:val="0093533C"/>
    <w:rsid w:val="009408F6"/>
    <w:rsid w:val="0094609B"/>
    <w:rsid w:val="00946B9D"/>
    <w:rsid w:val="00947F30"/>
    <w:rsid w:val="009504E1"/>
    <w:rsid w:val="00950D5D"/>
    <w:rsid w:val="009514B6"/>
    <w:rsid w:val="0095263A"/>
    <w:rsid w:val="00961A0C"/>
    <w:rsid w:val="0096357C"/>
    <w:rsid w:val="009636F5"/>
    <w:rsid w:val="009649F3"/>
    <w:rsid w:val="009671CD"/>
    <w:rsid w:val="00974C0A"/>
    <w:rsid w:val="00980008"/>
    <w:rsid w:val="00985A64"/>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4D2A"/>
    <w:rsid w:val="009F72BE"/>
    <w:rsid w:val="009F7BD3"/>
    <w:rsid w:val="00A0223D"/>
    <w:rsid w:val="00A03EBF"/>
    <w:rsid w:val="00A06FBF"/>
    <w:rsid w:val="00A11010"/>
    <w:rsid w:val="00A15939"/>
    <w:rsid w:val="00A15B6E"/>
    <w:rsid w:val="00A16BC4"/>
    <w:rsid w:val="00A2005D"/>
    <w:rsid w:val="00A20BCE"/>
    <w:rsid w:val="00A21530"/>
    <w:rsid w:val="00A22038"/>
    <w:rsid w:val="00A23D42"/>
    <w:rsid w:val="00A26865"/>
    <w:rsid w:val="00A33011"/>
    <w:rsid w:val="00A336B2"/>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90D"/>
    <w:rsid w:val="00A64C48"/>
    <w:rsid w:val="00A65CD3"/>
    <w:rsid w:val="00A65F87"/>
    <w:rsid w:val="00A674EF"/>
    <w:rsid w:val="00A67CDB"/>
    <w:rsid w:val="00A7042A"/>
    <w:rsid w:val="00A7439B"/>
    <w:rsid w:val="00A76F07"/>
    <w:rsid w:val="00A76F12"/>
    <w:rsid w:val="00A84DEF"/>
    <w:rsid w:val="00A907F9"/>
    <w:rsid w:val="00A947D3"/>
    <w:rsid w:val="00A94E64"/>
    <w:rsid w:val="00A95402"/>
    <w:rsid w:val="00AA01CC"/>
    <w:rsid w:val="00AA1097"/>
    <w:rsid w:val="00AA2DCA"/>
    <w:rsid w:val="00AA3E37"/>
    <w:rsid w:val="00AA783F"/>
    <w:rsid w:val="00AB458E"/>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1F8B"/>
    <w:rsid w:val="00AE36A4"/>
    <w:rsid w:val="00AE43EC"/>
    <w:rsid w:val="00AE5714"/>
    <w:rsid w:val="00AE7D06"/>
    <w:rsid w:val="00AF3D77"/>
    <w:rsid w:val="00AF6048"/>
    <w:rsid w:val="00B0059D"/>
    <w:rsid w:val="00B011D4"/>
    <w:rsid w:val="00B058F7"/>
    <w:rsid w:val="00B06409"/>
    <w:rsid w:val="00B14C98"/>
    <w:rsid w:val="00B159BC"/>
    <w:rsid w:val="00B21D40"/>
    <w:rsid w:val="00B22D42"/>
    <w:rsid w:val="00B22DE8"/>
    <w:rsid w:val="00B237B8"/>
    <w:rsid w:val="00B243AB"/>
    <w:rsid w:val="00B26C38"/>
    <w:rsid w:val="00B27EF6"/>
    <w:rsid w:val="00B362C2"/>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80756"/>
    <w:rsid w:val="00B82552"/>
    <w:rsid w:val="00B82C38"/>
    <w:rsid w:val="00B840F1"/>
    <w:rsid w:val="00B84788"/>
    <w:rsid w:val="00B870C8"/>
    <w:rsid w:val="00B87971"/>
    <w:rsid w:val="00B900FB"/>
    <w:rsid w:val="00B92E70"/>
    <w:rsid w:val="00B9489A"/>
    <w:rsid w:val="00B94C64"/>
    <w:rsid w:val="00B96360"/>
    <w:rsid w:val="00B96948"/>
    <w:rsid w:val="00B96DCA"/>
    <w:rsid w:val="00BA10DE"/>
    <w:rsid w:val="00BA5E44"/>
    <w:rsid w:val="00BA6980"/>
    <w:rsid w:val="00BA7618"/>
    <w:rsid w:val="00BA79A8"/>
    <w:rsid w:val="00BB0C44"/>
    <w:rsid w:val="00BB3666"/>
    <w:rsid w:val="00BC0BBD"/>
    <w:rsid w:val="00BC4379"/>
    <w:rsid w:val="00BC4C45"/>
    <w:rsid w:val="00BC5720"/>
    <w:rsid w:val="00BC6C18"/>
    <w:rsid w:val="00BC7465"/>
    <w:rsid w:val="00BC7AD3"/>
    <w:rsid w:val="00BD3F20"/>
    <w:rsid w:val="00BD55B0"/>
    <w:rsid w:val="00BD5B44"/>
    <w:rsid w:val="00BD735F"/>
    <w:rsid w:val="00BE2F0D"/>
    <w:rsid w:val="00BE44C2"/>
    <w:rsid w:val="00BF2EA3"/>
    <w:rsid w:val="00BF4B05"/>
    <w:rsid w:val="00C00C0D"/>
    <w:rsid w:val="00C061FB"/>
    <w:rsid w:val="00C063E1"/>
    <w:rsid w:val="00C11DB7"/>
    <w:rsid w:val="00C126CF"/>
    <w:rsid w:val="00C127F6"/>
    <w:rsid w:val="00C12826"/>
    <w:rsid w:val="00C15DCD"/>
    <w:rsid w:val="00C167F2"/>
    <w:rsid w:val="00C170B3"/>
    <w:rsid w:val="00C200B9"/>
    <w:rsid w:val="00C236FF"/>
    <w:rsid w:val="00C24E43"/>
    <w:rsid w:val="00C24F5C"/>
    <w:rsid w:val="00C3001D"/>
    <w:rsid w:val="00C30410"/>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87E91"/>
    <w:rsid w:val="00C909D1"/>
    <w:rsid w:val="00C92ADE"/>
    <w:rsid w:val="00C930FD"/>
    <w:rsid w:val="00C933B6"/>
    <w:rsid w:val="00C96F7A"/>
    <w:rsid w:val="00CA1514"/>
    <w:rsid w:val="00CA1DA3"/>
    <w:rsid w:val="00CA22E1"/>
    <w:rsid w:val="00CA3840"/>
    <w:rsid w:val="00CA3B24"/>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76DE"/>
    <w:rsid w:val="00CE7E83"/>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6B2"/>
    <w:rsid w:val="00D227C5"/>
    <w:rsid w:val="00D253C8"/>
    <w:rsid w:val="00D2748C"/>
    <w:rsid w:val="00D3026D"/>
    <w:rsid w:val="00D33DEB"/>
    <w:rsid w:val="00D34715"/>
    <w:rsid w:val="00D367AD"/>
    <w:rsid w:val="00D36B47"/>
    <w:rsid w:val="00D42D88"/>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26EC"/>
    <w:rsid w:val="00D87EC8"/>
    <w:rsid w:val="00D9065B"/>
    <w:rsid w:val="00D91E0D"/>
    <w:rsid w:val="00D92105"/>
    <w:rsid w:val="00D950A8"/>
    <w:rsid w:val="00D97318"/>
    <w:rsid w:val="00D97889"/>
    <w:rsid w:val="00D97BC6"/>
    <w:rsid w:val="00DA3F7D"/>
    <w:rsid w:val="00DB1FC5"/>
    <w:rsid w:val="00DB3677"/>
    <w:rsid w:val="00DB384E"/>
    <w:rsid w:val="00DB7E21"/>
    <w:rsid w:val="00DC360F"/>
    <w:rsid w:val="00DD05A6"/>
    <w:rsid w:val="00DD0EE9"/>
    <w:rsid w:val="00DE1C36"/>
    <w:rsid w:val="00DE44C2"/>
    <w:rsid w:val="00DE645C"/>
    <w:rsid w:val="00DF0009"/>
    <w:rsid w:val="00DF09FD"/>
    <w:rsid w:val="00DF1666"/>
    <w:rsid w:val="00DF5339"/>
    <w:rsid w:val="00DF6096"/>
    <w:rsid w:val="00E00172"/>
    <w:rsid w:val="00E011F6"/>
    <w:rsid w:val="00E01C47"/>
    <w:rsid w:val="00E01E74"/>
    <w:rsid w:val="00E04DC5"/>
    <w:rsid w:val="00E06A62"/>
    <w:rsid w:val="00E10C67"/>
    <w:rsid w:val="00E12A9F"/>
    <w:rsid w:val="00E13457"/>
    <w:rsid w:val="00E2011E"/>
    <w:rsid w:val="00E2071D"/>
    <w:rsid w:val="00E22C01"/>
    <w:rsid w:val="00E22E0D"/>
    <w:rsid w:val="00E25057"/>
    <w:rsid w:val="00E264F6"/>
    <w:rsid w:val="00E27436"/>
    <w:rsid w:val="00E275C4"/>
    <w:rsid w:val="00E30966"/>
    <w:rsid w:val="00E30B27"/>
    <w:rsid w:val="00E30CAA"/>
    <w:rsid w:val="00E324DE"/>
    <w:rsid w:val="00E4373A"/>
    <w:rsid w:val="00E44327"/>
    <w:rsid w:val="00E44B60"/>
    <w:rsid w:val="00E46584"/>
    <w:rsid w:val="00E477B5"/>
    <w:rsid w:val="00E52E6A"/>
    <w:rsid w:val="00E549D7"/>
    <w:rsid w:val="00E54F93"/>
    <w:rsid w:val="00E5562E"/>
    <w:rsid w:val="00E61DF1"/>
    <w:rsid w:val="00E637B9"/>
    <w:rsid w:val="00E67CAF"/>
    <w:rsid w:val="00E7324E"/>
    <w:rsid w:val="00E7441C"/>
    <w:rsid w:val="00E81274"/>
    <w:rsid w:val="00E8319E"/>
    <w:rsid w:val="00E84561"/>
    <w:rsid w:val="00E85F0D"/>
    <w:rsid w:val="00E8647E"/>
    <w:rsid w:val="00E92A13"/>
    <w:rsid w:val="00E96F81"/>
    <w:rsid w:val="00EA06EE"/>
    <w:rsid w:val="00EA12E1"/>
    <w:rsid w:val="00EA388C"/>
    <w:rsid w:val="00EA3C9B"/>
    <w:rsid w:val="00EA53C6"/>
    <w:rsid w:val="00EB0963"/>
    <w:rsid w:val="00EB256D"/>
    <w:rsid w:val="00EB2799"/>
    <w:rsid w:val="00EB39BA"/>
    <w:rsid w:val="00EB4541"/>
    <w:rsid w:val="00EC2B49"/>
    <w:rsid w:val="00EC3398"/>
    <w:rsid w:val="00EC446D"/>
    <w:rsid w:val="00EC4AF7"/>
    <w:rsid w:val="00EC66B5"/>
    <w:rsid w:val="00EC78EB"/>
    <w:rsid w:val="00ED03F9"/>
    <w:rsid w:val="00ED0D63"/>
    <w:rsid w:val="00ED3691"/>
    <w:rsid w:val="00EE2AE8"/>
    <w:rsid w:val="00EE49A9"/>
    <w:rsid w:val="00EE6891"/>
    <w:rsid w:val="00EF3870"/>
    <w:rsid w:val="00EF4B17"/>
    <w:rsid w:val="00F0000E"/>
    <w:rsid w:val="00F01E61"/>
    <w:rsid w:val="00F078C2"/>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631B"/>
    <w:rsid w:val="00F87A1F"/>
    <w:rsid w:val="00F90E0E"/>
    <w:rsid w:val="00F92A21"/>
    <w:rsid w:val="00F92E06"/>
    <w:rsid w:val="00F96C8F"/>
    <w:rsid w:val="00FA1BFF"/>
    <w:rsid w:val="00FA2482"/>
    <w:rsid w:val="00FA42F1"/>
    <w:rsid w:val="00FA577C"/>
    <w:rsid w:val="00FA5958"/>
    <w:rsid w:val="00FA7339"/>
    <w:rsid w:val="00FA754C"/>
    <w:rsid w:val="00FB0755"/>
    <w:rsid w:val="00FB0A0E"/>
    <w:rsid w:val="00FB12BD"/>
    <w:rsid w:val="00FB2394"/>
    <w:rsid w:val="00FC3579"/>
    <w:rsid w:val="00FC64C4"/>
    <w:rsid w:val="00FD0864"/>
    <w:rsid w:val="00FD3252"/>
    <w:rsid w:val="00FD39F7"/>
    <w:rsid w:val="00FE0BA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8B1C6A"/>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689</TotalTime>
  <Pages>6</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59</cp:revision>
  <cp:lastPrinted>2013-06-13T09:40:00Z</cp:lastPrinted>
  <dcterms:created xsi:type="dcterms:W3CDTF">2013-04-28T01:38:00Z</dcterms:created>
  <dcterms:modified xsi:type="dcterms:W3CDTF">2013-11-20T09:41:00Z</dcterms:modified>
</cp:coreProperties>
</file>