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D47FC" w:rsidP="0080590A">
      <w:pPr>
        <w:pStyle w:val="a9"/>
        <w:spacing w:line="540" w:lineRule="exact"/>
        <w:jc w:val="center"/>
        <w:rPr>
          <w:rFonts w:ascii="宋体" w:hAnsi="宋体"/>
          <w:b/>
          <w:sz w:val="32"/>
          <w:szCs w:val="32"/>
        </w:rPr>
      </w:pPr>
      <w:r>
        <w:rPr>
          <w:rFonts w:ascii="宋体" w:hAnsi="宋体" w:hint="eastAsia"/>
          <w:b/>
          <w:sz w:val="32"/>
          <w:szCs w:val="32"/>
        </w:rPr>
        <w:t>平安财富</w:t>
      </w:r>
      <w:r>
        <w:rPr>
          <w:rFonts w:ascii="宋体" w:hAnsi="宋体" w:hint="eastAsia"/>
          <w:b/>
          <w:sz w:val="32"/>
          <w:szCs w:val="32"/>
        </w:rPr>
        <w:t>-</w:t>
      </w:r>
      <w:r>
        <w:rPr>
          <w:rFonts w:ascii="宋体" w:hAnsi="宋体" w:hint="eastAsia"/>
          <w:b/>
          <w:sz w:val="32"/>
          <w:szCs w:val="32"/>
        </w:rPr>
        <w:t>结构类（</w:t>
      </w:r>
      <w:r>
        <w:rPr>
          <w:rFonts w:ascii="宋体" w:hAnsi="宋体" w:hint="eastAsia"/>
          <w:b/>
          <w:sz w:val="32"/>
          <w:szCs w:val="32"/>
        </w:rPr>
        <w:t>100%</w:t>
      </w:r>
      <w:r>
        <w:rPr>
          <w:rFonts w:ascii="宋体" w:hAnsi="宋体" w:hint="eastAsia"/>
          <w:b/>
          <w:sz w:val="32"/>
          <w:szCs w:val="32"/>
        </w:rPr>
        <w:t>保本挂钩股票）资产管理类</w:t>
      </w:r>
      <w:r>
        <w:rPr>
          <w:rFonts w:ascii="宋体" w:hAnsi="宋体" w:hint="eastAsia"/>
          <w:b/>
          <w:sz w:val="32"/>
          <w:szCs w:val="32"/>
        </w:rPr>
        <w:t>2014</w:t>
      </w:r>
      <w:r>
        <w:rPr>
          <w:rFonts w:ascii="宋体" w:hAnsi="宋体" w:hint="eastAsia"/>
          <w:b/>
          <w:sz w:val="32"/>
          <w:szCs w:val="32"/>
        </w:rPr>
        <w:t>年</w:t>
      </w:r>
      <w:r>
        <w:rPr>
          <w:rFonts w:ascii="宋体" w:hAnsi="宋体" w:hint="eastAsia"/>
          <w:b/>
          <w:sz w:val="32"/>
          <w:szCs w:val="32"/>
        </w:rPr>
        <w:t>37</w:t>
      </w:r>
      <w:r>
        <w:rPr>
          <w:rFonts w:ascii="宋体" w:hAnsi="宋体" w:hint="eastAsia"/>
          <w:b/>
          <w:sz w:val="32"/>
          <w:szCs w:val="32"/>
        </w:rPr>
        <w:t>期人民币理财产品说</w:t>
      </w:r>
      <w:r w:rsidR="003E1110" w:rsidRPr="000D2FD8">
        <w:rPr>
          <w:rFonts w:ascii="宋体" w:hAnsi="宋体" w:hint="eastAsia"/>
          <w:b/>
          <w:sz w:val="32"/>
          <w:szCs w:val="32"/>
        </w:rPr>
        <w:t>明书</w:t>
      </w:r>
      <w:r w:rsidR="003D21B8">
        <w:rPr>
          <w:rFonts w:ascii="宋体" w:hAnsi="宋体" w:hint="eastAsia"/>
          <w:b/>
          <w:sz w:val="32"/>
          <w:szCs w:val="32"/>
        </w:rPr>
        <w:t>(</w:t>
      </w:r>
      <w:r w:rsidR="003D21B8">
        <w:rPr>
          <w:rFonts w:ascii="宋体" w:hAnsi="宋体" w:hint="eastAsia"/>
          <w:b/>
          <w:sz w:val="32"/>
          <w:szCs w:val="32"/>
        </w:rPr>
        <w:t>产品代码：</w:t>
      </w:r>
      <w:r w:rsidR="003E4577">
        <w:rPr>
          <w:rFonts w:ascii="宋体" w:hAnsi="宋体" w:hint="eastAsia"/>
          <w:b/>
          <w:sz w:val="32"/>
          <w:szCs w:val="32"/>
          <w:highlight w:val="yellow"/>
        </w:rPr>
        <w:t>TL</w:t>
      </w:r>
      <w:r w:rsidR="003D041B">
        <w:rPr>
          <w:rFonts w:ascii="宋体" w:hAnsi="宋体" w:hint="eastAsia"/>
          <w:b/>
          <w:sz w:val="32"/>
          <w:szCs w:val="32"/>
          <w:highlight w:val="yellow"/>
        </w:rPr>
        <w:t>G</w:t>
      </w:r>
      <w:r w:rsidR="003E4577">
        <w:rPr>
          <w:rFonts w:ascii="宋体" w:hAnsi="宋体" w:hint="eastAsia"/>
          <w:b/>
          <w:sz w:val="32"/>
          <w:szCs w:val="32"/>
          <w:highlight w:val="yellow"/>
        </w:rPr>
        <w:t>1400</w:t>
      </w:r>
      <w:r w:rsidR="00256C88" w:rsidRPr="005E66B5">
        <w:rPr>
          <w:rFonts w:ascii="宋体" w:hAnsi="宋体" w:hint="eastAsia"/>
          <w:b/>
          <w:sz w:val="32"/>
          <w:szCs w:val="32"/>
          <w:highlight w:val="yellow"/>
        </w:rPr>
        <w:t>37</w:t>
      </w:r>
      <w:r w:rsidR="003E4577">
        <w:rPr>
          <w:rFonts w:ascii="宋体" w:hAnsi="宋体" w:hint="eastAsia"/>
          <w:b/>
          <w:sz w:val="32"/>
          <w:szCs w:val="32"/>
        </w:rPr>
        <w:t>)</w:t>
      </w:r>
    </w:p>
    <w:p w:rsidR="003E1110" w:rsidRPr="00256C88" w:rsidRDefault="003E1110" w:rsidP="00FA7339">
      <w:pPr>
        <w:jc w:val="center"/>
        <w:rPr>
          <w:rStyle w:val="corporatetitle1"/>
          <w:rFonts w:ascii="仿宋_GB2312"/>
          <w:snapToGrid w:val="0"/>
          <w:color w:val="000000"/>
          <w:sz w:val="28"/>
          <w:szCs w:val="28"/>
        </w:rPr>
      </w:pPr>
    </w:p>
    <w:p w:rsidR="003E1110" w:rsidRPr="000D2FD8" w:rsidRDefault="00BC0157" w:rsidP="001D5548">
      <w:pPr>
        <w:rPr>
          <w:rStyle w:val="corporatetitle1"/>
          <w:rFonts w:ascii="仿宋_GB2312"/>
          <w:snapToGrid w:val="0"/>
          <w:color w:val="000000"/>
          <w:sz w:val="28"/>
          <w:szCs w:val="28"/>
        </w:rPr>
      </w:pPr>
      <w:r w:rsidRPr="00BC0157">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3E4577" w:rsidRPr="00855F31" w:rsidRDefault="003E4577" w:rsidP="003E457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53766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3E4577" w:rsidRDefault="003D041B" w:rsidP="00735ED2">
            <w:pPr>
              <w:rPr>
                <w:rFonts w:ascii="宋体" w:eastAsia="宋体" w:hAnsi="宋体"/>
                <w:b/>
                <w:bCs/>
                <w:sz w:val="21"/>
                <w:szCs w:val="21"/>
              </w:rPr>
            </w:pPr>
            <w:r w:rsidRPr="003D041B">
              <w:rPr>
                <w:rFonts w:ascii="宋体" w:eastAsia="宋体" w:hAnsi="宋体" w:hint="eastAsia"/>
                <w:snapToGrid w:val="0"/>
                <w:sz w:val="21"/>
                <w:szCs w:val="21"/>
              </w:rPr>
              <w:t>平安财富</w:t>
            </w:r>
            <w:r w:rsidR="002D47FC">
              <w:rPr>
                <w:rFonts w:ascii="宋体" w:eastAsia="宋体" w:hAnsi="宋体" w:hint="eastAsia"/>
                <w:snapToGrid w:val="0"/>
                <w:sz w:val="21"/>
                <w:szCs w:val="21"/>
              </w:rPr>
              <w:t>-</w:t>
            </w:r>
            <w:r w:rsidRPr="003D041B">
              <w:rPr>
                <w:rFonts w:ascii="宋体" w:eastAsia="宋体" w:hAnsi="宋体" w:hint="eastAsia"/>
                <w:snapToGrid w:val="0"/>
                <w:sz w:val="21"/>
                <w:szCs w:val="21"/>
              </w:rPr>
              <w:t>结构类（100%保本挂钩</w:t>
            </w:r>
            <w:r w:rsidR="00AD6BFA">
              <w:rPr>
                <w:rFonts w:ascii="宋体" w:eastAsia="宋体" w:hAnsi="宋体" w:hint="eastAsia"/>
                <w:snapToGrid w:val="0"/>
                <w:sz w:val="21"/>
                <w:szCs w:val="21"/>
                <w:highlight w:val="yellow"/>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256C88">
              <w:rPr>
                <w:rFonts w:ascii="宋体" w:eastAsia="宋体" w:hAnsi="宋体" w:hint="eastAsia"/>
                <w:snapToGrid w:val="0"/>
                <w:sz w:val="21"/>
                <w:szCs w:val="21"/>
                <w:highlight w:val="yellow"/>
              </w:rPr>
              <w:t>37</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p>
        </w:tc>
      </w:tr>
      <w:tr w:rsidR="003E4577" w:rsidRPr="000D2FD8">
        <w:trPr>
          <w:trHeight w:val="41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3E4577" w:rsidRPr="000D2FD8" w:rsidRDefault="003E4577" w:rsidP="004A3EDC">
            <w:pPr>
              <w:rPr>
                <w:rFonts w:ascii="宋体" w:eastAsia="宋体" w:hAnsi="宋体"/>
                <w:sz w:val="21"/>
                <w:szCs w:val="21"/>
              </w:rPr>
            </w:pPr>
            <w:r>
              <w:rPr>
                <w:rFonts w:ascii="宋体" w:eastAsia="宋体" w:hAnsi="宋体" w:hint="eastAsia"/>
                <w:bCs/>
                <w:sz w:val="21"/>
                <w:szCs w:val="21"/>
              </w:rPr>
              <w:t>二级（中低）</w:t>
            </w:r>
          </w:p>
        </w:tc>
      </w:tr>
      <w:tr w:rsidR="003E4577" w:rsidRPr="000D2FD8" w:rsidTr="0003688C">
        <w:trPr>
          <w:trHeight w:val="92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3E4577" w:rsidRPr="00A2005D" w:rsidRDefault="003E4577" w:rsidP="004A3EDC">
            <w:pPr>
              <w:rPr>
                <w:rFonts w:ascii="宋体" w:eastAsia="宋体" w:hAnsi="宋体"/>
                <w:sz w:val="21"/>
                <w:szCs w:val="21"/>
              </w:rPr>
            </w:pPr>
            <w:r w:rsidRPr="00A2005D">
              <w:rPr>
                <w:rFonts w:ascii="宋体" w:eastAsia="宋体" w:hAnsi="宋体" w:hint="eastAsia"/>
                <w:sz w:val="21"/>
                <w:szCs w:val="21"/>
              </w:rPr>
              <w:t>本产品向有投资经验客户销售。平安银行建议：经我行风险承受度评估，评定为</w:t>
            </w:r>
            <w:r w:rsidRPr="00DF6823">
              <w:rPr>
                <w:rFonts w:ascii="宋体" w:eastAsia="宋体" w:hAnsi="宋体" w:hint="eastAsia"/>
                <w:sz w:val="21"/>
                <w:szCs w:val="21"/>
                <w:highlight w:val="yellow"/>
              </w:rPr>
              <w:t>“</w:t>
            </w:r>
            <w:r>
              <w:rPr>
                <w:rFonts w:ascii="宋体" w:eastAsia="宋体" w:hAnsi="宋体" w:hint="eastAsia"/>
                <w:sz w:val="21"/>
                <w:szCs w:val="21"/>
                <w:highlight w:val="yellow"/>
              </w:rPr>
              <w:t>成长</w:t>
            </w:r>
            <w:r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14EA6" w:rsidP="00B35CBB">
            <w:pPr>
              <w:jc w:val="left"/>
              <w:rPr>
                <w:rFonts w:ascii="宋体" w:eastAsia="宋体" w:hAnsi="宋体" w:cs="宋体"/>
                <w:sz w:val="21"/>
                <w:szCs w:val="21"/>
              </w:rPr>
            </w:pPr>
            <w:r>
              <w:rPr>
                <w:rFonts w:ascii="宋体" w:eastAsia="宋体" w:hAnsi="宋体" w:hint="eastAsia"/>
                <w:bCs/>
                <w:sz w:val="21"/>
                <w:szCs w:val="21"/>
                <w:highlight w:val="yellow"/>
              </w:rPr>
              <w:t>9</w:t>
            </w:r>
            <w:r w:rsidR="00B35CBB">
              <w:rPr>
                <w:rFonts w:ascii="宋体" w:eastAsia="宋体" w:hAnsi="宋体" w:hint="eastAsia"/>
                <w:bCs/>
                <w:sz w:val="21"/>
                <w:szCs w:val="21"/>
                <w:highlight w:val="yellow"/>
              </w:rPr>
              <w:t>2</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E64DD0" w:rsidP="004F4C49">
            <w:pPr>
              <w:rPr>
                <w:rFonts w:ascii="宋体" w:eastAsia="宋体" w:hAnsi="宋体" w:cs="宋体"/>
                <w:sz w:val="21"/>
                <w:szCs w:val="21"/>
              </w:rPr>
            </w:pPr>
            <w:r>
              <w:rPr>
                <w:rFonts w:ascii="宋体" w:eastAsia="宋体" w:hAnsi="宋体" w:hint="eastAsia"/>
                <w:bCs/>
                <w:sz w:val="21"/>
                <w:szCs w:val="21"/>
                <w:highlight w:val="yellow"/>
              </w:rPr>
              <w:t>6</w:t>
            </w:r>
            <w:r w:rsidR="001266FE" w:rsidRPr="00014EA6">
              <w:rPr>
                <w:rFonts w:ascii="宋体" w:eastAsia="宋体" w:hAnsi="宋体" w:hint="eastAsia"/>
                <w:noProof/>
                <w:sz w:val="21"/>
                <w:szCs w:val="21"/>
                <w:highlight w:val="yellow"/>
              </w:rPr>
              <w:t>亿</w:t>
            </w:r>
            <w:r w:rsidR="001266FE" w:rsidRPr="00014EA6">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E64DD0">
            <w:pPr>
              <w:rPr>
                <w:rFonts w:ascii="宋体" w:eastAsia="宋体" w:hAnsi="宋体"/>
                <w:sz w:val="21"/>
                <w:szCs w:val="21"/>
              </w:rPr>
            </w:pPr>
            <w:r w:rsidRPr="00A2005D">
              <w:rPr>
                <w:rFonts w:ascii="宋体" w:eastAsia="宋体" w:hAnsi="宋体"/>
                <w:sz w:val="21"/>
                <w:szCs w:val="21"/>
              </w:rPr>
              <w:t>认购起点份额为</w:t>
            </w:r>
            <w:r w:rsidR="00E64DD0">
              <w:rPr>
                <w:rFonts w:ascii="宋体" w:eastAsia="宋体" w:hAnsi="宋体" w:hint="eastAsia"/>
                <w:sz w:val="21"/>
                <w:szCs w:val="21"/>
              </w:rPr>
              <w:t>1</w:t>
            </w:r>
            <w:r w:rsidR="00822A19" w:rsidRPr="00A2005D">
              <w:rPr>
                <w:rFonts w:ascii="宋体" w:eastAsia="宋体" w:hAnsi="宋体" w:hint="eastAsia"/>
                <w:sz w:val="21"/>
                <w:szCs w:val="21"/>
              </w:rPr>
              <w:t>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256C88">
              <w:rPr>
                <w:rFonts w:ascii="宋体" w:eastAsia="宋体" w:hAnsi="宋体" w:hint="eastAsia"/>
                <w:noProof/>
                <w:sz w:val="21"/>
                <w:szCs w:val="21"/>
                <w:highlight w:val="yellow"/>
              </w:rPr>
              <w:t>2</w:t>
            </w:r>
            <w:r w:rsidR="00B35CBB">
              <w:rPr>
                <w:rFonts w:ascii="宋体" w:eastAsia="宋体" w:hAnsi="宋体" w:hint="eastAsia"/>
                <w:noProof/>
                <w:sz w:val="21"/>
                <w:szCs w:val="21"/>
                <w:highlight w:val="yellow"/>
              </w:rPr>
              <w:t>7</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256C88">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月</w:t>
            </w:r>
            <w:r w:rsidR="00256C88">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256C88">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256C88">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256C88">
              <w:rPr>
                <w:rFonts w:ascii="宋体" w:eastAsia="宋体" w:hAnsi="宋体" w:hint="eastAsia"/>
                <w:noProof/>
                <w:sz w:val="21"/>
                <w:szCs w:val="21"/>
                <w:highlight w:val="yellow"/>
              </w:rPr>
              <w:t>6</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256C88">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256C88">
              <w:rPr>
                <w:rFonts w:ascii="宋体" w:eastAsia="宋体" w:hAnsi="宋体" w:hint="eastAsia"/>
                <w:noProof/>
                <w:sz w:val="21"/>
                <w:szCs w:val="21"/>
                <w:highlight w:val="yellow"/>
              </w:rPr>
              <w:t>6</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256C88">
              <w:rPr>
                <w:rFonts w:ascii="宋体" w:eastAsia="宋体" w:hAnsi="宋体" w:hint="eastAsia"/>
                <w:noProof/>
                <w:sz w:val="21"/>
                <w:szCs w:val="21"/>
                <w:highlight w:val="yellow"/>
              </w:rPr>
              <w:t>6</w:t>
            </w:r>
            <w:r w:rsidR="00DE44C2" w:rsidRPr="00CC4AE4">
              <w:rPr>
                <w:rFonts w:ascii="宋体" w:eastAsia="宋体" w:hAnsi="宋体"/>
                <w:noProof/>
                <w:sz w:val="21"/>
                <w:szCs w:val="21"/>
                <w:highlight w:val="yellow"/>
              </w:rPr>
              <w:t>月</w:t>
            </w:r>
            <w:r w:rsidR="00256C88">
              <w:rPr>
                <w:rFonts w:ascii="宋体" w:eastAsia="宋体" w:hAnsi="宋体" w:hint="eastAsia"/>
                <w:noProof/>
                <w:sz w:val="21"/>
                <w:szCs w:val="21"/>
                <w:highlight w:val="yellow"/>
              </w:rPr>
              <w:t>6</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平安银行</w:t>
            </w:r>
            <w:r w:rsidRPr="000D2FD8">
              <w:rPr>
                <w:rFonts w:ascii="宋体" w:eastAsia="宋体" w:hAnsi="宋体" w:hint="eastAsia"/>
                <w:spacing w:val="4"/>
                <w:sz w:val="21"/>
                <w:szCs w:val="21"/>
              </w:rPr>
              <w:t>股份有限公司</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014EA6" w:rsidRPr="000D2FD8" w:rsidRDefault="00014EA6" w:rsidP="00E64DD0">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w:t>
            </w:r>
            <w:r w:rsidR="0059236A">
              <w:rPr>
                <w:rFonts w:ascii="宋体" w:eastAsia="宋体" w:hAnsi="宋体" w:hint="eastAsia"/>
                <w:color w:val="000000"/>
                <w:sz w:val="21"/>
                <w:szCs w:val="21"/>
              </w:rPr>
              <w:t>相关说明书的约定，按照挂钩标的的价格表现，向投资者支付浮动理财收益</w:t>
            </w:r>
            <w:r w:rsidR="00E01FB8">
              <w:rPr>
                <w:rFonts w:ascii="宋体" w:eastAsia="宋体" w:hAnsi="宋体" w:hint="eastAsia"/>
                <w:color w:val="000000"/>
                <w:sz w:val="21"/>
                <w:szCs w:val="21"/>
                <w:highlight w:val="yellow"/>
              </w:rPr>
              <w:t>4.0</w:t>
            </w:r>
            <w:r w:rsidR="0039710F">
              <w:rPr>
                <w:rFonts w:ascii="宋体" w:eastAsia="宋体" w:hAnsi="宋体" w:hint="eastAsia"/>
                <w:color w:val="000000"/>
                <w:sz w:val="21"/>
                <w:szCs w:val="21"/>
                <w:highlight w:val="yellow"/>
              </w:rPr>
              <w:t>0</w:t>
            </w:r>
            <w:r w:rsidRPr="00E962BC">
              <w:rPr>
                <w:rFonts w:ascii="宋体" w:eastAsia="宋体" w:hAnsi="宋体" w:hint="eastAsia"/>
                <w:color w:val="000000"/>
                <w:sz w:val="21"/>
                <w:szCs w:val="21"/>
                <w:highlight w:val="yellow"/>
              </w:rPr>
              <w:t>%（年化）</w:t>
            </w:r>
            <w:r w:rsidR="009A3666">
              <w:rPr>
                <w:rFonts w:ascii="宋体" w:eastAsia="宋体" w:hAnsi="宋体" w:hint="eastAsia"/>
                <w:color w:val="000000"/>
                <w:sz w:val="21"/>
                <w:szCs w:val="21"/>
              </w:rPr>
              <w:t>至</w:t>
            </w:r>
            <w:r w:rsidR="00E64DD0">
              <w:rPr>
                <w:rFonts w:ascii="宋体" w:eastAsia="宋体" w:hAnsi="宋体" w:hint="eastAsia"/>
                <w:color w:val="000000"/>
                <w:sz w:val="21"/>
                <w:szCs w:val="21"/>
                <w:highlight w:val="yellow"/>
              </w:rPr>
              <w:t>9</w:t>
            </w:r>
            <w:r>
              <w:rPr>
                <w:rFonts w:ascii="宋体" w:eastAsia="宋体" w:hAnsi="宋体" w:hint="eastAsia"/>
                <w:color w:val="000000"/>
                <w:sz w:val="21"/>
                <w:szCs w:val="21"/>
                <w:highlight w:val="yellow"/>
              </w:rPr>
              <w:t>.0</w:t>
            </w:r>
            <w:r w:rsidRPr="0021533F">
              <w:rPr>
                <w:rFonts w:ascii="宋体" w:eastAsia="宋体" w:hAnsi="宋体" w:hint="eastAsia"/>
                <w:color w:val="000000"/>
                <w:sz w:val="21"/>
                <w:szCs w:val="21"/>
                <w:highlight w:val="yellow"/>
              </w:rPr>
              <w:t>0%</w:t>
            </w:r>
            <w:r>
              <w:rPr>
                <w:rFonts w:ascii="宋体" w:eastAsia="宋体" w:hAnsi="宋体" w:hint="eastAsia"/>
                <w:color w:val="000000"/>
                <w:sz w:val="21"/>
                <w:szCs w:val="21"/>
              </w:rPr>
              <w:t>（年化）。</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sz w:val="21"/>
                <w:szCs w:val="21"/>
              </w:rPr>
              <w:t>理财期内，投资者无提前终止本理财计划的权利。</w:t>
            </w:r>
            <w:r>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014EA6" w:rsidRPr="000D2FD8">
        <w:trPr>
          <w:trHeight w:val="11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7115ED" w:rsidRPr="00276096" w:rsidRDefault="003D041B" w:rsidP="003E4577">
      <w:pPr>
        <w:adjustRightInd w:val="0"/>
        <w:snapToGrid w:val="0"/>
        <w:spacing w:line="440" w:lineRule="exact"/>
        <w:ind w:firstLineChars="200" w:firstLine="420"/>
        <w:textAlignment w:val="center"/>
        <w:rPr>
          <w:rFonts w:ascii="宋体" w:eastAsia="宋体" w:hAnsi="宋体"/>
          <w:sz w:val="21"/>
          <w:szCs w:val="21"/>
        </w:rPr>
      </w:pPr>
      <w:r w:rsidRPr="003D041B">
        <w:rPr>
          <w:rFonts w:ascii="宋体" w:eastAsia="宋体" w:hAnsi="宋体" w:hint="eastAsia"/>
          <w:snapToGrid w:val="0"/>
          <w:sz w:val="21"/>
          <w:szCs w:val="21"/>
        </w:rPr>
        <w:t>平安财富</w:t>
      </w:r>
      <w:r w:rsidR="002D47FC">
        <w:rPr>
          <w:rFonts w:ascii="宋体" w:eastAsia="宋体" w:hAnsi="宋体" w:hint="eastAsia"/>
          <w:snapToGrid w:val="0"/>
          <w:sz w:val="21"/>
          <w:szCs w:val="21"/>
        </w:rPr>
        <w:t>-</w:t>
      </w:r>
      <w:r w:rsidRPr="003D041B">
        <w:rPr>
          <w:rFonts w:ascii="宋体" w:eastAsia="宋体" w:hAnsi="宋体" w:hint="eastAsia"/>
          <w:snapToGrid w:val="0"/>
          <w:sz w:val="21"/>
          <w:szCs w:val="21"/>
        </w:rPr>
        <w:t>结构类（100%保本挂钩</w:t>
      </w:r>
      <w:r w:rsidR="00AD6BFA">
        <w:rPr>
          <w:rFonts w:ascii="宋体" w:eastAsia="宋体" w:hAnsi="宋体" w:hint="eastAsia"/>
          <w:snapToGrid w:val="0"/>
          <w:sz w:val="21"/>
          <w:szCs w:val="21"/>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256C88">
        <w:rPr>
          <w:rFonts w:ascii="宋体" w:eastAsia="宋体" w:hAnsi="宋体" w:hint="eastAsia"/>
          <w:snapToGrid w:val="0"/>
          <w:sz w:val="21"/>
          <w:szCs w:val="21"/>
          <w:highlight w:val="yellow"/>
        </w:rPr>
        <w:t>37</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w:t>
      </w:r>
      <w:r w:rsidR="003E4577" w:rsidRPr="005E4FA4">
        <w:rPr>
          <w:rFonts w:ascii="宋体" w:eastAsia="宋体" w:hAnsi="宋体" w:hint="eastAsia"/>
          <w:sz w:val="21"/>
          <w:szCs w:val="21"/>
        </w:rPr>
        <w:t>产品所募集的本金部分做保本投资，我行提供100%本金安全；</w:t>
      </w:r>
      <w:r w:rsidR="00973F39">
        <w:rPr>
          <w:rFonts w:ascii="宋体" w:eastAsia="宋体" w:hAnsi="宋体" w:hint="eastAsia"/>
          <w:sz w:val="21"/>
          <w:szCs w:val="21"/>
        </w:rPr>
        <w:t>本金投资所产生的预期收益</w:t>
      </w:r>
      <w:r w:rsidR="004F4FB9">
        <w:rPr>
          <w:rFonts w:ascii="宋体" w:eastAsia="宋体" w:hAnsi="宋体" w:hint="eastAsia"/>
          <w:sz w:val="21"/>
          <w:szCs w:val="21"/>
        </w:rPr>
        <w:t>部分</w:t>
      </w:r>
      <w:r w:rsidR="00F5798C" w:rsidRPr="005E4FA4">
        <w:rPr>
          <w:rFonts w:ascii="宋体" w:eastAsia="宋体" w:hAnsi="宋体" w:hint="eastAsia"/>
          <w:sz w:val="21"/>
          <w:szCs w:val="21"/>
        </w:rPr>
        <w:t>由我行通过掉期交易投资于</w:t>
      </w:r>
      <w:r w:rsidRPr="00396EF3">
        <w:rPr>
          <w:rFonts w:ascii="宋体" w:eastAsia="宋体" w:hAnsi="宋体" w:hint="eastAsia"/>
          <w:sz w:val="21"/>
          <w:szCs w:val="21"/>
          <w:highlight w:val="yellow"/>
        </w:rPr>
        <w:t>A</w:t>
      </w:r>
      <w:r w:rsidR="00F5798C" w:rsidRPr="00396EF3">
        <w:rPr>
          <w:rFonts w:ascii="宋体" w:eastAsia="宋体" w:hAnsi="宋体" w:hint="eastAsia"/>
          <w:sz w:val="21"/>
          <w:szCs w:val="21"/>
          <w:highlight w:val="yellow"/>
        </w:rPr>
        <w:t>股</w:t>
      </w:r>
      <w:r w:rsidR="00973F39" w:rsidRPr="00396EF3">
        <w:rPr>
          <w:rFonts w:ascii="宋体" w:eastAsia="宋体" w:hAnsi="宋体" w:hint="eastAsia"/>
          <w:sz w:val="21"/>
          <w:szCs w:val="21"/>
          <w:highlight w:val="yellow"/>
        </w:rPr>
        <w:t>衍生产品</w:t>
      </w:r>
      <w:r w:rsidR="00973F39">
        <w:rPr>
          <w:rFonts w:ascii="宋体" w:eastAsia="宋体" w:hAnsi="宋体" w:hint="eastAsia"/>
          <w:sz w:val="21"/>
          <w:szCs w:val="21"/>
        </w:rPr>
        <w:t>市场，</w:t>
      </w:r>
      <w:r w:rsidR="00540566" w:rsidRPr="00276096">
        <w:rPr>
          <w:rFonts w:ascii="宋体" w:eastAsia="宋体" w:hAnsi="宋体" w:hint="eastAsia"/>
          <w:sz w:val="21"/>
          <w:szCs w:val="21"/>
        </w:rPr>
        <w:t>理</w:t>
      </w:r>
      <w:r w:rsidR="007115ED" w:rsidRPr="00276096">
        <w:rPr>
          <w:rFonts w:ascii="宋体" w:eastAsia="宋体" w:hAnsi="宋体" w:hint="eastAsia"/>
          <w:sz w:val="21"/>
          <w:szCs w:val="21"/>
        </w:rPr>
        <w:t>财资金理财收益与</w:t>
      </w:r>
      <w:r>
        <w:rPr>
          <w:rFonts w:ascii="宋体" w:eastAsia="宋体" w:hAnsi="宋体" w:hint="eastAsia"/>
          <w:sz w:val="21"/>
          <w:szCs w:val="21"/>
        </w:rPr>
        <w:t>沪深300</w:t>
      </w:r>
      <w:r w:rsidR="00AD6BFA">
        <w:rPr>
          <w:rFonts w:ascii="宋体" w:eastAsia="宋体" w:hAnsi="宋体" w:hint="eastAsia"/>
          <w:sz w:val="21"/>
          <w:szCs w:val="21"/>
        </w:rPr>
        <w:t>股票</w:t>
      </w:r>
      <w:r>
        <w:rPr>
          <w:rFonts w:ascii="宋体" w:eastAsia="宋体" w:hAnsi="宋体" w:hint="eastAsia"/>
          <w:sz w:val="21"/>
          <w:szCs w:val="21"/>
        </w:rPr>
        <w:t>指数</w:t>
      </w:r>
      <w:r w:rsidR="007115ED">
        <w:rPr>
          <w:rFonts w:ascii="宋体" w:eastAsia="宋体" w:hAnsi="宋体" w:hint="eastAsia"/>
          <w:sz w:val="21"/>
          <w:szCs w:val="21"/>
        </w:rPr>
        <w:t>的</w:t>
      </w:r>
      <w:r w:rsidR="007115ED" w:rsidRPr="00276096">
        <w:rPr>
          <w:rFonts w:ascii="宋体" w:eastAsia="宋体" w:hAnsi="宋体" w:hint="eastAsia"/>
          <w:sz w:val="21"/>
          <w:szCs w:val="21"/>
        </w:rPr>
        <w:t>表现挂钩：</w:t>
      </w:r>
    </w:p>
    <w:tbl>
      <w:tblPr>
        <w:tblW w:w="0" w:type="auto"/>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1984"/>
        <w:gridCol w:w="1450"/>
      </w:tblGrid>
      <w:tr w:rsidR="008C68C0" w:rsidRPr="000D2FD8" w:rsidTr="00966F43">
        <w:trPr>
          <w:cantSplit/>
          <w:trHeight w:val="333"/>
          <w:jc w:val="center"/>
        </w:trPr>
        <w:tc>
          <w:tcPr>
            <w:tcW w:w="2906" w:type="dxa"/>
            <w:vAlign w:val="center"/>
          </w:tcPr>
          <w:p w:rsidR="008C68C0" w:rsidRPr="000D2FD8" w:rsidRDefault="005D3A11"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挂钩标的</w:t>
            </w:r>
          </w:p>
        </w:tc>
        <w:tc>
          <w:tcPr>
            <w:tcW w:w="1984" w:type="dxa"/>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交易所</w:t>
            </w:r>
          </w:p>
        </w:tc>
        <w:tc>
          <w:tcPr>
            <w:tcW w:w="1450" w:type="dxa"/>
            <w:vAlign w:val="center"/>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证券</w:t>
            </w:r>
            <w:r w:rsidRPr="000D2FD8">
              <w:rPr>
                <w:rFonts w:ascii="宋体" w:eastAsia="宋体" w:hAnsi="宋体" w:hint="eastAsia"/>
                <w:snapToGrid w:val="0"/>
                <w:color w:val="000000"/>
                <w:sz w:val="21"/>
                <w:szCs w:val="21"/>
              </w:rPr>
              <w:t>代码</w:t>
            </w:r>
          </w:p>
        </w:tc>
      </w:tr>
      <w:tr w:rsidR="008C68C0" w:rsidRPr="000D2FD8" w:rsidTr="00966F43">
        <w:trPr>
          <w:trHeight w:val="478"/>
          <w:jc w:val="center"/>
        </w:trPr>
        <w:tc>
          <w:tcPr>
            <w:tcW w:w="2906" w:type="dxa"/>
            <w:vAlign w:val="center"/>
          </w:tcPr>
          <w:p w:rsidR="008C68C0" w:rsidRPr="00593625" w:rsidRDefault="008C68C0" w:rsidP="00AD6BFA">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沪深300（CSI300）</w:t>
            </w:r>
          </w:p>
        </w:tc>
        <w:tc>
          <w:tcPr>
            <w:tcW w:w="1984" w:type="dxa"/>
          </w:tcPr>
          <w:p w:rsidR="008C68C0" w:rsidRDefault="008C68C0" w:rsidP="003D041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上海证券交易所</w:t>
            </w:r>
          </w:p>
        </w:tc>
        <w:tc>
          <w:tcPr>
            <w:tcW w:w="1450" w:type="dxa"/>
            <w:vAlign w:val="center"/>
          </w:tcPr>
          <w:p w:rsidR="008C68C0" w:rsidRPr="00593625" w:rsidRDefault="008C68C0" w:rsidP="003D041B">
            <w:pPr>
              <w:adjustRightInd w:val="0"/>
              <w:snapToGrid w:val="0"/>
              <w:spacing w:line="440" w:lineRule="exact"/>
              <w:ind w:firstLineChars="15" w:firstLine="33"/>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000300</w:t>
            </w:r>
            <w:r w:rsidR="0035068F">
              <w:rPr>
                <w:rFonts w:asciiTheme="majorEastAsia" w:eastAsiaTheme="majorEastAsia" w:hAnsiTheme="majorEastAsia" w:hint="eastAsia"/>
                <w:snapToGrid w:val="0"/>
                <w:color w:val="000000"/>
                <w:sz w:val="22"/>
                <w:szCs w:val="21"/>
                <w:highlight w:val="yellow"/>
              </w:rPr>
              <w:t>.SH</w:t>
            </w:r>
          </w:p>
        </w:tc>
      </w:tr>
    </w:tbl>
    <w:p w:rsidR="007115ED" w:rsidRPr="003D041B" w:rsidRDefault="003D041B" w:rsidP="00BF140B">
      <w:pPr>
        <w:pStyle w:val="Default"/>
        <w:spacing w:line="360" w:lineRule="auto"/>
        <w:ind w:firstLineChars="200" w:firstLine="420"/>
        <w:jc w:val="both"/>
        <w:rPr>
          <w:rFonts w:hAnsi="宋体" w:cs="Times New Roman"/>
          <w:snapToGrid w:val="0"/>
          <w:color w:val="auto"/>
          <w:kern w:val="2"/>
          <w:sz w:val="21"/>
          <w:szCs w:val="21"/>
        </w:rPr>
      </w:pPr>
      <w:r w:rsidRPr="003D041B">
        <w:rPr>
          <w:rFonts w:hAnsi="宋体" w:cs="Times New Roman" w:hint="eastAsia"/>
          <w:snapToGrid w:val="0"/>
          <w:color w:val="auto"/>
          <w:kern w:val="2"/>
          <w:sz w:val="21"/>
          <w:szCs w:val="21"/>
        </w:rPr>
        <w:t>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指数是由上海和深圳证券市场中选取300只A股作为样本编制而成的成份股指数。沪深300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指数样本覆盖了沪深市场六成左右的市值，具有良好的市场代表性。沪深300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w:t>
      </w:r>
      <w:r w:rsidRPr="003D041B">
        <w:rPr>
          <w:rFonts w:hAnsi="宋体" w:cs="Times New Roman" w:hint="eastAsia"/>
          <w:snapToGrid w:val="0"/>
          <w:color w:val="auto"/>
          <w:kern w:val="2"/>
          <w:sz w:val="21"/>
          <w:szCs w:val="21"/>
        </w:rPr>
        <w:lastRenderedPageBreak/>
        <w:t>是沪深证券交易所第一次联合发布的反映A股市场整体走势的</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指数。投资者可登录上海证券交易所网页（</w:t>
      </w:r>
      <w:r w:rsidR="00AD6BFA" w:rsidRPr="00AD6BFA">
        <w:rPr>
          <w:rFonts w:hAnsi="宋体" w:cs="Times New Roman"/>
          <w:snapToGrid w:val="0"/>
          <w:color w:val="auto"/>
          <w:kern w:val="2"/>
          <w:sz w:val="21"/>
          <w:szCs w:val="21"/>
        </w:rPr>
        <w:t>http://www.sse.com.cn</w:t>
      </w:r>
      <w:r w:rsidR="00AD6BFA" w:rsidRPr="00AD6BFA">
        <w:rPr>
          <w:rFonts w:hAnsi="宋体" w:cs="Times New Roman" w:hint="eastAsia"/>
          <w:snapToGrid w:val="0"/>
          <w:color w:val="auto"/>
          <w:kern w:val="2"/>
          <w:sz w:val="21"/>
          <w:szCs w:val="21"/>
        </w:rPr>
        <w:t>）公布沪深</w:t>
      </w:r>
      <w:r w:rsidR="00AD6BFA" w:rsidRPr="00AD6BFA">
        <w:rPr>
          <w:rFonts w:hAnsi="宋体" w:cs="Times New Roman"/>
          <w:snapToGrid w:val="0"/>
          <w:color w:val="auto"/>
          <w:kern w:val="2"/>
          <w:sz w:val="21"/>
          <w:szCs w:val="21"/>
        </w:rPr>
        <w:t>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指数价格</w:t>
      </w:r>
      <w:r w:rsidR="007115ED" w:rsidRPr="003D041B">
        <w:rPr>
          <w:rFonts w:hAnsi="宋体" w:cs="Times New Roman"/>
          <w:snapToGrid w:val="0"/>
          <w:color w:val="auto"/>
          <w:kern w:val="2"/>
          <w:sz w:val="21"/>
          <w:szCs w:val="21"/>
        </w:rPr>
        <w:t>查阅</w:t>
      </w:r>
      <w:r w:rsidR="007115ED" w:rsidRPr="003D041B">
        <w:rPr>
          <w:rFonts w:hAnsi="宋体" w:cs="Times New Roman" w:hint="eastAsia"/>
          <w:snapToGrid w:val="0"/>
          <w:color w:val="auto"/>
          <w:kern w:val="2"/>
          <w:sz w:val="21"/>
          <w:szCs w:val="21"/>
        </w:rPr>
        <w:t>挂钩</w:t>
      </w:r>
      <w:r w:rsidRPr="003D041B">
        <w:rPr>
          <w:rFonts w:hAnsi="宋体" w:cs="Times New Roman" w:hint="eastAsia"/>
          <w:snapToGrid w:val="0"/>
          <w:color w:val="auto"/>
          <w:kern w:val="2"/>
          <w:sz w:val="21"/>
          <w:szCs w:val="21"/>
        </w:rPr>
        <w:t>标的</w:t>
      </w:r>
      <w:r w:rsidR="007115ED" w:rsidRPr="003D041B">
        <w:rPr>
          <w:rFonts w:hAnsi="宋体" w:cs="Times New Roman" w:hint="eastAsia"/>
          <w:snapToGrid w:val="0"/>
          <w:color w:val="auto"/>
          <w:kern w:val="2"/>
          <w:sz w:val="21"/>
          <w:szCs w:val="21"/>
        </w:rPr>
        <w:t>的表现。平安银行</w:t>
      </w:r>
      <w:r w:rsidR="007115ED" w:rsidRPr="003D041B">
        <w:rPr>
          <w:rFonts w:hAnsi="宋体" w:cs="Times New Roman"/>
          <w:snapToGrid w:val="0"/>
          <w:color w:val="auto"/>
          <w:kern w:val="2"/>
          <w:sz w:val="21"/>
          <w:szCs w:val="21"/>
        </w:rPr>
        <w:t>对</w:t>
      </w:r>
      <w:r w:rsidR="007115ED" w:rsidRPr="003D041B">
        <w:rPr>
          <w:rFonts w:hAnsi="宋体" w:cs="Times New Roman" w:hint="eastAsia"/>
          <w:snapToGrid w:val="0"/>
          <w:color w:val="auto"/>
          <w:kern w:val="2"/>
          <w:sz w:val="21"/>
          <w:szCs w:val="21"/>
        </w:rPr>
        <w:t>上述系统</w:t>
      </w:r>
      <w:r w:rsidR="007115ED" w:rsidRPr="003D041B">
        <w:rPr>
          <w:rFonts w:hAnsi="宋体" w:cs="Times New Roman"/>
          <w:snapToGrid w:val="0"/>
          <w:color w:val="auto"/>
          <w:kern w:val="2"/>
          <w:sz w:val="21"/>
          <w:szCs w:val="21"/>
        </w:rPr>
        <w:t>信息的准确性不承担任何责任。</w:t>
      </w:r>
    </w:p>
    <w:p w:rsidR="00091025" w:rsidRPr="000D2FD8" w:rsidRDefault="00091025" w:rsidP="007115ED">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987755">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091025"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观察期</w:t>
      </w:r>
      <w:r w:rsidRPr="00C76004">
        <w:rPr>
          <w:rFonts w:ascii="宋体" w:eastAsia="宋体" w:hAnsi="宋体" w:hint="eastAsia"/>
          <w:snapToGrid w:val="0"/>
          <w:color w:val="000000"/>
          <w:sz w:val="21"/>
          <w:szCs w:val="21"/>
          <w:highlight w:val="yellow"/>
        </w:rPr>
        <w:t>：201</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年</w:t>
      </w:r>
      <w:r w:rsidR="00256C88">
        <w:rPr>
          <w:rFonts w:ascii="宋体" w:eastAsia="宋体" w:hAnsi="宋体" w:hint="eastAsia"/>
          <w:snapToGrid w:val="0"/>
          <w:color w:val="000000"/>
          <w:sz w:val="21"/>
          <w:szCs w:val="21"/>
          <w:highlight w:val="yellow"/>
        </w:rPr>
        <w:t>3</w:t>
      </w:r>
      <w:r w:rsidRPr="00C76004">
        <w:rPr>
          <w:rFonts w:ascii="宋体" w:eastAsia="宋体" w:hAnsi="宋体" w:hint="eastAsia"/>
          <w:snapToGrid w:val="0"/>
          <w:color w:val="000000"/>
          <w:sz w:val="21"/>
          <w:szCs w:val="21"/>
          <w:highlight w:val="yellow"/>
        </w:rPr>
        <w:t>月</w:t>
      </w:r>
      <w:r w:rsidR="00256C88">
        <w:rPr>
          <w:rFonts w:ascii="宋体" w:eastAsia="宋体" w:hAnsi="宋体" w:hint="eastAsia"/>
          <w:snapToGrid w:val="0"/>
          <w:color w:val="000000"/>
          <w:sz w:val="21"/>
          <w:szCs w:val="21"/>
          <w:highlight w:val="yellow"/>
        </w:rPr>
        <w:t>6</w:t>
      </w:r>
      <w:r w:rsidRPr="00C76004">
        <w:rPr>
          <w:rFonts w:ascii="宋体" w:eastAsia="宋体" w:hAnsi="宋体" w:hint="eastAsia"/>
          <w:snapToGrid w:val="0"/>
          <w:color w:val="000000"/>
          <w:sz w:val="21"/>
          <w:szCs w:val="21"/>
          <w:highlight w:val="yellow"/>
        </w:rPr>
        <w:t>日至2014年</w:t>
      </w:r>
      <w:r w:rsidR="00256C88">
        <w:rPr>
          <w:rFonts w:ascii="宋体" w:eastAsia="宋体" w:hAnsi="宋体" w:hint="eastAsia"/>
          <w:snapToGrid w:val="0"/>
          <w:color w:val="000000"/>
          <w:sz w:val="21"/>
          <w:szCs w:val="21"/>
          <w:highlight w:val="yellow"/>
        </w:rPr>
        <w:t>6</w:t>
      </w:r>
      <w:r w:rsidRPr="00C76004">
        <w:rPr>
          <w:rFonts w:ascii="宋体" w:eastAsia="宋体" w:hAnsi="宋体" w:hint="eastAsia"/>
          <w:snapToGrid w:val="0"/>
          <w:color w:val="000000"/>
          <w:sz w:val="21"/>
          <w:szCs w:val="21"/>
          <w:highlight w:val="yellow"/>
        </w:rPr>
        <w:t>月</w:t>
      </w:r>
      <w:r w:rsidR="00256C88">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日</w:t>
      </w:r>
    </w:p>
    <w:p w:rsidR="00AE6137" w:rsidRDefault="00AE6137"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（2）最终观察日：</w:t>
      </w:r>
      <w:r w:rsidRPr="005764BA">
        <w:rPr>
          <w:rFonts w:ascii="宋体" w:eastAsia="宋体" w:hAnsi="宋体" w:hint="eastAsia"/>
          <w:snapToGrid w:val="0"/>
          <w:color w:val="000000"/>
          <w:sz w:val="21"/>
          <w:szCs w:val="21"/>
          <w:highlight w:val="yellow"/>
        </w:rPr>
        <w:t>2014年</w:t>
      </w:r>
      <w:r w:rsidR="00256C88">
        <w:rPr>
          <w:rFonts w:ascii="宋体" w:eastAsia="宋体" w:hAnsi="宋体" w:hint="eastAsia"/>
          <w:snapToGrid w:val="0"/>
          <w:color w:val="000000"/>
          <w:sz w:val="21"/>
          <w:szCs w:val="21"/>
          <w:highlight w:val="yellow"/>
        </w:rPr>
        <w:t>6</w:t>
      </w:r>
      <w:r w:rsidRPr="005764BA">
        <w:rPr>
          <w:rFonts w:ascii="宋体" w:eastAsia="宋体" w:hAnsi="宋体" w:hint="eastAsia"/>
          <w:snapToGrid w:val="0"/>
          <w:color w:val="000000"/>
          <w:sz w:val="21"/>
          <w:szCs w:val="21"/>
          <w:highlight w:val="yellow"/>
        </w:rPr>
        <w:t>月</w:t>
      </w:r>
      <w:r w:rsidR="00256C88">
        <w:rPr>
          <w:rFonts w:ascii="宋体" w:eastAsia="宋体" w:hAnsi="宋体" w:hint="eastAsia"/>
          <w:snapToGrid w:val="0"/>
          <w:color w:val="000000"/>
          <w:sz w:val="21"/>
          <w:szCs w:val="21"/>
          <w:highlight w:val="yellow"/>
        </w:rPr>
        <w:t>4</w:t>
      </w:r>
      <w:r w:rsidRPr="005764BA">
        <w:rPr>
          <w:rFonts w:ascii="宋体" w:eastAsia="宋体" w:hAnsi="宋体" w:hint="eastAsia"/>
          <w:snapToGrid w:val="0"/>
          <w:color w:val="000000"/>
          <w:sz w:val="21"/>
          <w:szCs w:val="21"/>
          <w:highlight w:val="yellow"/>
        </w:rPr>
        <w:t>日</w:t>
      </w:r>
    </w:p>
    <w:p w:rsidR="00091025" w:rsidRPr="00E30CAA"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sidR="003D041B" w:rsidRPr="00E30CAA">
        <w:rPr>
          <w:rFonts w:ascii="宋体" w:eastAsia="宋体" w:hAnsi="宋体" w:hint="eastAsia"/>
          <w:snapToGrid w:val="0"/>
          <w:color w:val="000000"/>
          <w:sz w:val="21"/>
          <w:szCs w:val="21"/>
        </w:rPr>
        <w:t>在</w:t>
      </w:r>
      <w:r w:rsidR="003D041B">
        <w:rPr>
          <w:rFonts w:ascii="宋体" w:eastAsia="宋体" w:hAnsi="宋体" w:hint="eastAsia"/>
          <w:snapToGrid w:val="0"/>
          <w:color w:val="000000"/>
          <w:sz w:val="21"/>
          <w:szCs w:val="21"/>
        </w:rPr>
        <w:t>上海证券</w:t>
      </w:r>
      <w:r w:rsidR="003D041B" w:rsidRPr="00E30CAA">
        <w:rPr>
          <w:rFonts w:ascii="宋体" w:eastAsia="宋体" w:hAnsi="宋体" w:hint="eastAsia"/>
          <w:snapToGrid w:val="0"/>
          <w:color w:val="000000"/>
          <w:sz w:val="21"/>
          <w:szCs w:val="21"/>
        </w:rPr>
        <w:t>交易所</w:t>
      </w:r>
      <w:r w:rsidR="003D041B">
        <w:rPr>
          <w:rFonts w:ascii="宋体" w:eastAsia="宋体" w:hAnsi="宋体" w:hint="eastAsia"/>
          <w:snapToGrid w:val="0"/>
          <w:color w:val="000000"/>
          <w:sz w:val="21"/>
          <w:szCs w:val="21"/>
        </w:rPr>
        <w:t>网页</w:t>
      </w:r>
      <w:r w:rsidR="003D041B" w:rsidRPr="003D041B">
        <w:rPr>
          <w:rFonts w:ascii="宋体" w:eastAsia="宋体" w:hAnsi="宋体" w:hint="eastAsia"/>
          <w:snapToGrid w:val="0"/>
          <w:color w:val="000000"/>
          <w:sz w:val="21"/>
          <w:szCs w:val="21"/>
        </w:rPr>
        <w:t>（http://www.sse.com.cn）公布</w:t>
      </w:r>
      <w:r>
        <w:rPr>
          <w:rFonts w:ascii="宋体" w:eastAsia="宋体" w:hAnsi="宋体" w:hint="eastAsia"/>
          <w:snapToGrid w:val="0"/>
          <w:color w:val="000000"/>
          <w:sz w:val="21"/>
          <w:szCs w:val="21"/>
        </w:rPr>
        <w:t>挂钩标的</w:t>
      </w:r>
      <w:r w:rsidR="003D041B">
        <w:rPr>
          <w:rFonts w:ascii="宋体" w:eastAsia="宋体" w:hAnsi="宋体" w:hint="eastAsia"/>
          <w:snapToGrid w:val="0"/>
          <w:color w:val="000000"/>
          <w:sz w:val="21"/>
          <w:szCs w:val="21"/>
        </w:rPr>
        <w:t>的</w:t>
      </w:r>
      <w:r w:rsidRPr="00E30CAA">
        <w:rPr>
          <w:rFonts w:ascii="宋体" w:eastAsia="宋体" w:hAnsi="宋体" w:hint="eastAsia"/>
          <w:snapToGrid w:val="0"/>
          <w:color w:val="000000"/>
          <w:sz w:val="21"/>
          <w:szCs w:val="21"/>
        </w:rPr>
        <w:t>当日交易收盘价；</w:t>
      </w:r>
    </w:p>
    <w:p w:rsidR="00091025" w:rsidRPr="009323FD"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4</w:t>
      </w:r>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AE6137">
        <w:rPr>
          <w:rFonts w:ascii="宋体" w:eastAsia="宋体" w:hAnsi="宋体" w:hint="eastAsia"/>
          <w:sz w:val="21"/>
          <w:szCs w:val="21"/>
        </w:rPr>
        <w:t>5</w:t>
      </w:r>
      <w:r w:rsidRPr="009323FD">
        <w:rPr>
          <w:rFonts w:ascii="宋体" w:eastAsia="宋体" w:hAnsi="宋体" w:hint="eastAsia"/>
          <w:sz w:val="21"/>
          <w:szCs w:val="21"/>
        </w:rPr>
        <w:t>）</w:t>
      </w:r>
      <w:r w:rsidR="009A3666">
        <w:rPr>
          <w:rFonts w:ascii="宋体" w:eastAsia="宋体" w:hAnsi="宋体" w:hint="eastAsia"/>
          <w:sz w:val="21"/>
          <w:szCs w:val="21"/>
        </w:rPr>
        <w:t>障碍价格</w:t>
      </w:r>
      <w:r w:rsidRPr="009323FD">
        <w:rPr>
          <w:rFonts w:ascii="宋体" w:eastAsia="宋体" w:hAnsi="宋体" w:hint="eastAsia"/>
          <w:sz w:val="21"/>
          <w:szCs w:val="21"/>
        </w:rPr>
        <w:t>：</w:t>
      </w:r>
      <w:r w:rsidR="009A3666">
        <w:rPr>
          <w:rFonts w:ascii="宋体" w:eastAsia="宋体" w:hAnsi="宋体" w:hint="eastAsia"/>
          <w:sz w:val="21"/>
          <w:szCs w:val="21"/>
        </w:rPr>
        <w:t>起始价格×</w:t>
      </w:r>
      <w:r w:rsidR="009A3666" w:rsidRPr="00CB4374">
        <w:rPr>
          <w:rFonts w:ascii="宋体" w:eastAsia="宋体" w:hAnsi="宋体" w:hint="eastAsia"/>
          <w:sz w:val="21"/>
          <w:szCs w:val="21"/>
          <w:highlight w:val="yellow"/>
        </w:rPr>
        <w:t>1</w:t>
      </w:r>
      <w:r w:rsidR="00E64DD0">
        <w:rPr>
          <w:rFonts w:ascii="宋体" w:eastAsia="宋体" w:hAnsi="宋体" w:hint="eastAsia"/>
          <w:sz w:val="21"/>
          <w:szCs w:val="21"/>
          <w:highlight w:val="yellow"/>
        </w:rPr>
        <w:t>09</w:t>
      </w:r>
      <w:r w:rsidR="009A3666" w:rsidRPr="00CB4374">
        <w:rPr>
          <w:rFonts w:ascii="宋体" w:eastAsia="宋体" w:hAnsi="宋体" w:hint="eastAsia"/>
          <w:sz w:val="21"/>
          <w:szCs w:val="21"/>
          <w:highlight w:val="yellow"/>
        </w:rPr>
        <w:t>%</w:t>
      </w:r>
      <w:r w:rsidR="002B7D1E">
        <w:rPr>
          <w:rFonts w:ascii="宋体" w:eastAsia="宋体" w:hAnsi="宋体" w:hint="eastAsia"/>
          <w:sz w:val="21"/>
          <w:szCs w:val="21"/>
        </w:rPr>
        <w:t>；</w:t>
      </w:r>
    </w:p>
    <w:p w:rsidR="002B7D1E" w:rsidRPr="002B7D1E" w:rsidRDefault="002B7D1E" w:rsidP="00091025">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w:t>
      </w:r>
      <w:r w:rsidR="00AE6137">
        <w:rPr>
          <w:rFonts w:ascii="宋体" w:eastAsia="宋体" w:hAnsi="宋体" w:hint="eastAsia"/>
          <w:sz w:val="21"/>
          <w:szCs w:val="21"/>
        </w:rPr>
        <w:t>6</w:t>
      </w:r>
      <w:r>
        <w:rPr>
          <w:rFonts w:ascii="宋体" w:eastAsia="宋体" w:hAnsi="宋体" w:hint="eastAsia"/>
          <w:sz w:val="21"/>
          <w:szCs w:val="21"/>
        </w:rPr>
        <w:t>）</w:t>
      </w:r>
      <w:r w:rsidR="00AE6137">
        <w:rPr>
          <w:rFonts w:ascii="宋体" w:eastAsia="宋体" w:hAnsi="宋体" w:hint="eastAsia"/>
          <w:sz w:val="21"/>
          <w:szCs w:val="21"/>
        </w:rPr>
        <w:t>最终</w:t>
      </w:r>
      <w:r>
        <w:rPr>
          <w:rFonts w:ascii="宋体" w:eastAsia="宋体" w:hAnsi="宋体" w:hint="eastAsia"/>
          <w:sz w:val="21"/>
          <w:szCs w:val="21"/>
        </w:rPr>
        <w:t>价格：</w:t>
      </w:r>
      <w:r w:rsidRPr="009323FD">
        <w:rPr>
          <w:rFonts w:ascii="宋体" w:eastAsia="宋体" w:hAnsi="宋体" w:hint="eastAsia"/>
          <w:snapToGrid w:val="0"/>
          <w:color w:val="000000"/>
          <w:sz w:val="21"/>
          <w:szCs w:val="21"/>
        </w:rPr>
        <w:t>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w:t>
      </w:r>
      <w:r w:rsidR="00AE6137">
        <w:rPr>
          <w:rFonts w:ascii="宋体" w:eastAsia="宋体" w:hAnsi="宋体" w:hint="eastAsia"/>
          <w:snapToGrid w:val="0"/>
          <w:color w:val="000000"/>
          <w:sz w:val="21"/>
          <w:szCs w:val="21"/>
        </w:rPr>
        <w:t>最终观察</w:t>
      </w:r>
      <w:r w:rsidRPr="009323FD">
        <w:rPr>
          <w:rFonts w:ascii="宋体" w:eastAsia="宋体" w:hAnsi="宋体" w:hint="eastAsia"/>
          <w:snapToGrid w:val="0"/>
          <w:color w:val="000000"/>
          <w:sz w:val="21"/>
          <w:szCs w:val="21"/>
        </w:rPr>
        <w:t>日的收盘价格，如果</w:t>
      </w:r>
      <w:r>
        <w:rPr>
          <w:rFonts w:ascii="宋体" w:eastAsia="宋体" w:hAnsi="宋体" w:hint="eastAsia"/>
          <w:snapToGrid w:val="0"/>
          <w:color w:val="000000"/>
          <w:sz w:val="21"/>
          <w:szCs w:val="21"/>
        </w:rPr>
        <w:t>产品到期</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2B7D1E">
        <w:rPr>
          <w:rFonts w:ascii="宋体" w:eastAsia="宋体" w:hAnsi="宋体" w:hint="eastAsia"/>
          <w:sz w:val="21"/>
          <w:szCs w:val="21"/>
        </w:rPr>
        <w:t>7</w:t>
      </w:r>
      <w:r w:rsidRPr="009323FD">
        <w:rPr>
          <w:rFonts w:ascii="宋体" w:eastAsia="宋体" w:hAnsi="宋体" w:hint="eastAsia"/>
          <w:sz w:val="21"/>
          <w:szCs w:val="21"/>
        </w:rPr>
        <w:t>）</w:t>
      </w:r>
      <w:r>
        <w:rPr>
          <w:rFonts w:ascii="宋体" w:eastAsia="宋体" w:hAnsi="宋体" w:hint="eastAsia"/>
          <w:sz w:val="21"/>
          <w:szCs w:val="21"/>
        </w:rPr>
        <w:t>观察期频率：</w:t>
      </w:r>
      <w:r w:rsidRPr="005E4FA4">
        <w:rPr>
          <w:rFonts w:ascii="宋体" w:eastAsia="宋体" w:hAnsi="宋体" w:hint="eastAsia"/>
          <w:sz w:val="21"/>
          <w:szCs w:val="21"/>
        </w:rPr>
        <w:t>本期理财产品为</w:t>
      </w:r>
      <w:r w:rsidR="00670213">
        <w:rPr>
          <w:rFonts w:ascii="宋体" w:eastAsia="宋体" w:hAnsi="宋体" w:hint="eastAsia"/>
          <w:sz w:val="21"/>
          <w:szCs w:val="21"/>
        </w:rPr>
        <w:t>每日</w:t>
      </w:r>
      <w:r w:rsidRPr="005E4FA4">
        <w:rPr>
          <w:rFonts w:ascii="宋体" w:eastAsia="宋体" w:hAnsi="宋体" w:hint="eastAsia"/>
          <w:sz w:val="21"/>
          <w:szCs w:val="21"/>
        </w:rPr>
        <w:t>观察。</w:t>
      </w:r>
    </w:p>
    <w:p w:rsidR="00091025" w:rsidRPr="009323FD" w:rsidRDefault="00091025" w:rsidP="00091025">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A3D6A" w:rsidRPr="009323FD"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A3D6A"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A3D6A" w:rsidRPr="005E4FA4"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Pr="001C3935">
        <w:rPr>
          <w:rFonts w:ascii="宋体" w:eastAsia="宋体" w:hAnsi="宋体" w:hint="eastAsia"/>
          <w:snapToGrid w:val="0"/>
          <w:color w:val="000000"/>
          <w:sz w:val="21"/>
          <w:szCs w:val="21"/>
          <w:highlight w:val="yellow"/>
        </w:rPr>
        <w:t>.</w:t>
      </w:r>
      <w:r w:rsidR="003E4577">
        <w:rPr>
          <w:rFonts w:ascii="宋体" w:eastAsia="宋体" w:hAnsi="宋体" w:hint="eastAsia"/>
          <w:snapToGrid w:val="0"/>
          <w:color w:val="000000"/>
          <w:sz w:val="21"/>
          <w:szCs w:val="21"/>
          <w:highlight w:val="yellow"/>
        </w:rPr>
        <w:t>45</w:t>
      </w:r>
      <w:r w:rsidRPr="001C3935">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Pr="001260EF"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Default="00DA3D6A" w:rsidP="00DA3D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7B43C4">
        <w:rPr>
          <w:rFonts w:ascii="宋体" w:eastAsia="宋体" w:hAnsi="宋体" w:hint="eastAsia"/>
          <w:b/>
          <w:snapToGrid w:val="0"/>
          <w:color w:val="000000"/>
          <w:sz w:val="21"/>
          <w:szCs w:val="21"/>
        </w:rPr>
        <w:t>预期最高</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sidRPr="009323FD">
        <w:rPr>
          <w:rFonts w:ascii="宋体" w:eastAsia="宋体" w:hAnsi="宋体" w:hint="eastAsia"/>
          <w:b/>
          <w:sz w:val="21"/>
          <w:szCs w:val="21"/>
        </w:rPr>
        <w:t xml:space="preserve">  </w:t>
      </w:r>
      <w:r w:rsidR="00E64DD0">
        <w:rPr>
          <w:rFonts w:ascii="宋体" w:eastAsia="宋体" w:hAnsi="宋体" w:hint="eastAsia"/>
          <w:b/>
          <w:sz w:val="21"/>
          <w:szCs w:val="21"/>
          <w:highlight w:val="yellow"/>
        </w:rPr>
        <w:t>9</w:t>
      </w:r>
      <w:r>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C8515E">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sidR="007B43C4">
        <w:rPr>
          <w:rFonts w:ascii="宋体" w:eastAsia="宋体" w:hAnsi="宋体" w:hint="eastAsia"/>
          <w:b/>
          <w:snapToGrid w:val="0"/>
          <w:color w:val="000000"/>
          <w:sz w:val="21"/>
          <w:szCs w:val="21"/>
        </w:rPr>
        <w:t>预期</w:t>
      </w:r>
      <w:r w:rsidR="00C8515E">
        <w:rPr>
          <w:rFonts w:ascii="宋体" w:eastAsia="宋体" w:hAnsi="宋体" w:hint="eastAsia"/>
          <w:b/>
          <w:snapToGrid w:val="0"/>
          <w:color w:val="000000"/>
          <w:sz w:val="21"/>
          <w:szCs w:val="21"/>
        </w:rPr>
        <w:t>最低</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Pr>
          <w:rFonts w:ascii="宋体" w:eastAsia="宋体" w:hAnsi="宋体" w:hint="eastAsia"/>
          <w:b/>
          <w:sz w:val="21"/>
          <w:szCs w:val="21"/>
        </w:rPr>
        <w:t xml:space="preserve">   </w:t>
      </w:r>
      <w:r w:rsidR="00AE6137">
        <w:rPr>
          <w:rFonts w:ascii="宋体" w:eastAsia="宋体" w:hAnsi="宋体" w:hint="eastAsia"/>
          <w:b/>
          <w:sz w:val="21"/>
          <w:szCs w:val="21"/>
          <w:highlight w:val="yellow"/>
        </w:rPr>
        <w:t>4</w:t>
      </w:r>
      <w:r>
        <w:rPr>
          <w:rFonts w:ascii="宋体" w:eastAsia="宋体" w:hAnsi="宋体" w:hint="eastAsia"/>
          <w:b/>
          <w:sz w:val="21"/>
          <w:szCs w:val="21"/>
          <w:highlight w:val="yellow"/>
        </w:rPr>
        <w:t>.</w:t>
      </w:r>
      <w:r w:rsidR="00E01FB8">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4B45B7">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客户预期最高年化收益率根据本产品所投挂钩标的衍生品交易所产生的预期收益率测算而得。</w:t>
      </w:r>
    </w:p>
    <w:p w:rsidR="00DA3D6A" w:rsidRPr="000D2FD8"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E64DD0" w:rsidRDefault="00E64DD0" w:rsidP="00E64DD0">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E64DD0" w:rsidRDefault="00E64DD0" w:rsidP="00E64DD0">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若挂钩标的的收盘价格在观察期内曾经大于障碍价格，则理财收益率为年化4.00%，</w:t>
      </w:r>
    </w:p>
    <w:p w:rsidR="00E64DD0" w:rsidRDefault="00E64DD0" w:rsidP="00E64DD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4.00</w:t>
      </w:r>
      <w:r w:rsidRPr="009F45B9">
        <w:rPr>
          <w:rFonts w:ascii="宋体" w:eastAsia="宋体" w:hAnsi="宋体" w:cs="宋体" w:hint="eastAsia"/>
          <w:snapToGrid w:val="0"/>
          <w:color w:val="000000"/>
          <w:kern w:val="0"/>
          <w:sz w:val="21"/>
          <w:szCs w:val="21"/>
          <w:highlight w:val="yellow"/>
        </w:rPr>
        <w:t>%×9</w:t>
      </w:r>
      <w:r>
        <w:rPr>
          <w:rFonts w:ascii="宋体" w:eastAsia="宋体" w:hAnsi="宋体" w:cs="宋体" w:hint="eastAsia"/>
          <w:snapToGrid w:val="0"/>
          <w:color w:val="000000"/>
          <w:kern w:val="0"/>
          <w:sz w:val="21"/>
          <w:szCs w:val="21"/>
          <w:highlight w:val="yellow"/>
        </w:rPr>
        <w:t>2</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E64DD0" w:rsidRDefault="00E64DD0" w:rsidP="00E64DD0">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若挂钩标的的收盘价格在观察期内从未大于障碍价格，则理财收益率为：</w:t>
      </w:r>
    </w:p>
    <w:p w:rsidR="00E64DD0" w:rsidRPr="002B7D1E" w:rsidRDefault="00E64DD0" w:rsidP="00E64DD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理财收益率（年化）=4.00% +最小值 {</w:t>
      </w:r>
      <w:r>
        <w:rPr>
          <w:rFonts w:ascii="宋体" w:eastAsia="宋体" w:hAnsi="宋体" w:cs="宋体" w:hint="eastAsia"/>
          <w:snapToGrid w:val="0"/>
          <w:color w:val="000000"/>
          <w:kern w:val="0"/>
          <w:sz w:val="21"/>
          <w:szCs w:val="21"/>
          <w:highlight w:val="yellow"/>
        </w:rPr>
        <w:t>5.00</w:t>
      </w:r>
      <w:r w:rsidRPr="009A018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，最大值[(最终价格/起始价格-1)-4.00%,0]}</w:t>
      </w:r>
    </w:p>
    <w:p w:rsidR="00E64DD0" w:rsidRPr="002B7D1E" w:rsidRDefault="00E64DD0" w:rsidP="00E64DD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理财收益率（年化）</w:t>
      </w:r>
      <w:r w:rsidRPr="009F45B9">
        <w:rPr>
          <w:rFonts w:ascii="宋体" w:eastAsia="宋体" w:hAnsi="宋体" w:cs="宋体" w:hint="eastAsia"/>
          <w:snapToGrid w:val="0"/>
          <w:color w:val="000000"/>
          <w:kern w:val="0"/>
          <w:sz w:val="21"/>
          <w:szCs w:val="21"/>
          <w:highlight w:val="yellow"/>
        </w:rPr>
        <w:t>×9</w:t>
      </w:r>
      <w:r>
        <w:rPr>
          <w:rFonts w:ascii="宋体" w:eastAsia="宋体" w:hAnsi="宋体" w:cs="宋体" w:hint="eastAsia"/>
          <w:snapToGrid w:val="0"/>
          <w:color w:val="000000"/>
          <w:kern w:val="0"/>
          <w:sz w:val="21"/>
          <w:szCs w:val="21"/>
          <w:highlight w:val="yellow"/>
        </w:rPr>
        <w:t>2</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E64DD0" w:rsidRDefault="00E64DD0" w:rsidP="00E64DD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E64DD0" w:rsidRPr="00151D15" w:rsidRDefault="00E64DD0" w:rsidP="00E64DD0">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E64DD0" w:rsidRDefault="00E64DD0" w:rsidP="00E64DD0">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100,000，挂钩标的起始价格为2000。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4536"/>
        <w:gridCol w:w="1417"/>
      </w:tblGrid>
      <w:tr w:rsidR="00E64DD0" w:rsidRPr="005E4FA4" w:rsidTr="0002218D">
        <w:tc>
          <w:tcPr>
            <w:tcW w:w="1101" w:type="dxa"/>
          </w:tcPr>
          <w:p w:rsidR="00E64DD0" w:rsidRPr="005E4FA4" w:rsidRDefault="00E64DD0" w:rsidP="0002218D">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126" w:type="dxa"/>
          </w:tcPr>
          <w:p w:rsidR="00E64DD0" w:rsidRPr="005E4FA4" w:rsidRDefault="00E64DD0" w:rsidP="0002218D">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4536" w:type="dxa"/>
          </w:tcPr>
          <w:p w:rsidR="00E64DD0" w:rsidRDefault="00E64DD0" w:rsidP="0002218D">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E64DD0" w:rsidRPr="005E4FA4" w:rsidRDefault="00E64DD0" w:rsidP="0002218D">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417" w:type="dxa"/>
          </w:tcPr>
          <w:p w:rsidR="00E64DD0" w:rsidRDefault="00E64DD0" w:rsidP="0002218D">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E64DD0" w:rsidRPr="005E4FA4" w:rsidRDefault="00E64DD0" w:rsidP="0002218D">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E64DD0" w:rsidRPr="005E4FA4" w:rsidTr="0002218D">
        <w:tc>
          <w:tcPr>
            <w:tcW w:w="1101" w:type="dxa"/>
          </w:tcPr>
          <w:p w:rsidR="00E64DD0" w:rsidRPr="00D12E2C" w:rsidRDefault="00E64DD0" w:rsidP="0002218D">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tc>
        <w:tc>
          <w:tcPr>
            <w:tcW w:w="2126" w:type="dxa"/>
            <w:vAlign w:val="center"/>
          </w:tcPr>
          <w:p w:rsidR="00E64DD0" w:rsidRPr="00A94DED" w:rsidRDefault="00E64DD0" w:rsidP="0002218D">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若挂钩标的收盘价格在观察期内从未高于障碍价格，且最终价格为2180。</w:t>
            </w:r>
          </w:p>
        </w:tc>
        <w:tc>
          <w:tcPr>
            <w:tcW w:w="4536" w:type="dxa"/>
            <w:vAlign w:val="center"/>
          </w:tcPr>
          <w:p w:rsidR="00E64DD0" w:rsidRPr="004B45B7"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2180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=9.00%</w:t>
            </w:r>
          </w:p>
          <w:p w:rsidR="00E64DD0"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E64DD0" w:rsidRPr="00A94DED" w:rsidRDefault="00E64DD0" w:rsidP="0002218D">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=2268.49元</w:t>
            </w:r>
          </w:p>
        </w:tc>
        <w:tc>
          <w:tcPr>
            <w:tcW w:w="1417" w:type="dxa"/>
          </w:tcPr>
          <w:p w:rsidR="00E64DD0" w:rsidRPr="000D2FD8" w:rsidRDefault="00E64DD0" w:rsidP="0002218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9.00</w:t>
            </w:r>
            <w:r w:rsidRPr="000D2FD8">
              <w:rPr>
                <w:rFonts w:ascii="宋体" w:eastAsia="宋体" w:hAnsi="宋体" w:hint="eastAsia"/>
                <w:snapToGrid w:val="0"/>
                <w:color w:val="000000"/>
                <w:sz w:val="21"/>
                <w:szCs w:val="21"/>
              </w:rPr>
              <w:t>％</w:t>
            </w:r>
          </w:p>
        </w:tc>
      </w:tr>
      <w:tr w:rsidR="00E64DD0" w:rsidRPr="005E4FA4" w:rsidTr="0002218D">
        <w:tc>
          <w:tcPr>
            <w:tcW w:w="1101" w:type="dxa"/>
          </w:tcPr>
          <w:p w:rsidR="00E64DD0" w:rsidRPr="00D12E2C" w:rsidRDefault="00E64DD0" w:rsidP="0002218D">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r>
              <w:rPr>
                <w:rFonts w:ascii="宋体" w:eastAsia="宋体" w:hAnsi="宋体" w:hint="eastAsia"/>
                <w:b/>
                <w:snapToGrid w:val="0"/>
                <w:color w:val="000000"/>
                <w:sz w:val="21"/>
                <w:szCs w:val="21"/>
              </w:rPr>
              <w:t>较好</w:t>
            </w:r>
            <w:r w:rsidRPr="00D12E2C">
              <w:rPr>
                <w:rFonts w:ascii="宋体" w:eastAsia="宋体" w:hAnsi="宋体" w:hint="eastAsia"/>
                <w:b/>
                <w:snapToGrid w:val="0"/>
                <w:color w:val="000000"/>
                <w:sz w:val="21"/>
                <w:szCs w:val="21"/>
              </w:rPr>
              <w:t>情况</w:t>
            </w:r>
          </w:p>
        </w:tc>
        <w:tc>
          <w:tcPr>
            <w:tcW w:w="2126" w:type="dxa"/>
            <w:vAlign w:val="center"/>
          </w:tcPr>
          <w:p w:rsidR="00E64DD0" w:rsidRPr="00A94DED" w:rsidRDefault="00E64DD0" w:rsidP="0002218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若挂钩标的收盘价格在观察期内从未高于障碍价格，且最终价格为2160。</w:t>
            </w:r>
          </w:p>
        </w:tc>
        <w:tc>
          <w:tcPr>
            <w:tcW w:w="4536" w:type="dxa"/>
            <w:vAlign w:val="center"/>
          </w:tcPr>
          <w:p w:rsidR="00E64DD0" w:rsidRPr="004B45B7"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2160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=8.00%</w:t>
            </w:r>
          </w:p>
          <w:p w:rsidR="00E64DD0"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8.00%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E64DD0" w:rsidRPr="00A94DED" w:rsidRDefault="00E64DD0" w:rsidP="0002218D">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=2016.44元</w:t>
            </w:r>
          </w:p>
        </w:tc>
        <w:tc>
          <w:tcPr>
            <w:tcW w:w="1417" w:type="dxa"/>
          </w:tcPr>
          <w:p w:rsidR="00E64DD0" w:rsidRPr="000D2FD8" w:rsidRDefault="00E64DD0" w:rsidP="0002218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Pr="000D2FD8">
              <w:rPr>
                <w:rFonts w:ascii="宋体" w:eastAsia="宋体" w:hAnsi="宋体" w:hint="eastAsia"/>
                <w:snapToGrid w:val="0"/>
                <w:color w:val="000000"/>
                <w:sz w:val="21"/>
                <w:szCs w:val="21"/>
              </w:rPr>
              <w:t>％</w:t>
            </w:r>
          </w:p>
        </w:tc>
      </w:tr>
      <w:tr w:rsidR="00E64DD0" w:rsidRPr="005E4FA4" w:rsidTr="0002218D">
        <w:tc>
          <w:tcPr>
            <w:tcW w:w="1101" w:type="dxa"/>
          </w:tcPr>
          <w:p w:rsidR="00E64DD0" w:rsidRPr="00D12E2C" w:rsidRDefault="00E64DD0" w:rsidP="0002218D">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Pr>
                <w:rFonts w:ascii="宋体" w:eastAsia="宋体" w:hAnsi="宋体" w:hint="eastAsia"/>
                <w:b/>
                <w:snapToGrid w:val="0"/>
                <w:color w:val="000000"/>
                <w:sz w:val="21"/>
                <w:szCs w:val="21"/>
              </w:rPr>
              <w:t>一般</w:t>
            </w:r>
            <w:r w:rsidRPr="00D12E2C">
              <w:rPr>
                <w:rFonts w:ascii="宋体" w:eastAsia="宋体" w:hAnsi="宋体" w:hint="eastAsia"/>
                <w:b/>
                <w:snapToGrid w:val="0"/>
                <w:color w:val="000000"/>
                <w:sz w:val="21"/>
                <w:szCs w:val="21"/>
              </w:rPr>
              <w:t>情况</w:t>
            </w:r>
          </w:p>
        </w:tc>
        <w:tc>
          <w:tcPr>
            <w:tcW w:w="2126" w:type="dxa"/>
            <w:vAlign w:val="center"/>
          </w:tcPr>
          <w:p w:rsidR="00E64DD0" w:rsidRPr="00A94DED" w:rsidDel="001E475B" w:rsidRDefault="00E64DD0" w:rsidP="0002218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若挂钩标的在观察期内曾经高于障碍价格。</w:t>
            </w:r>
          </w:p>
        </w:tc>
        <w:tc>
          <w:tcPr>
            <w:tcW w:w="4536" w:type="dxa"/>
            <w:vAlign w:val="center"/>
          </w:tcPr>
          <w:p w:rsidR="00E64DD0" w:rsidRPr="004B45B7"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 xml:space="preserve">0% </w:t>
            </w:r>
          </w:p>
          <w:p w:rsidR="00E64DD0" w:rsidRDefault="00E64DD0" w:rsidP="0002218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4.00%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E64DD0" w:rsidRPr="00A94DED" w:rsidRDefault="00E64DD0" w:rsidP="0002218D">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=1008.22元</w:t>
            </w:r>
          </w:p>
        </w:tc>
        <w:tc>
          <w:tcPr>
            <w:tcW w:w="1417" w:type="dxa"/>
          </w:tcPr>
          <w:p w:rsidR="00E64DD0" w:rsidRPr="000D2FD8" w:rsidRDefault="00E64DD0" w:rsidP="0002218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4.00</w:t>
            </w:r>
            <w:r w:rsidRPr="000D2FD8">
              <w:rPr>
                <w:rFonts w:ascii="宋体" w:eastAsia="宋体" w:hAnsi="宋体" w:hint="eastAsia"/>
                <w:snapToGrid w:val="0"/>
                <w:color w:val="000000"/>
                <w:sz w:val="21"/>
                <w:szCs w:val="21"/>
              </w:rPr>
              <w:t>％</w:t>
            </w:r>
          </w:p>
        </w:tc>
      </w:tr>
    </w:tbl>
    <w:p w:rsidR="00FE3390" w:rsidRDefault="00FE3390"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lastRenderedPageBreak/>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3D041B" w:rsidRPr="003D041B">
        <w:rPr>
          <w:rFonts w:ascii="宋体" w:eastAsia="宋体" w:hAnsi="宋体" w:hint="eastAsia"/>
          <w:b/>
          <w:snapToGrid w:val="0"/>
          <w:color w:val="000000"/>
          <w:sz w:val="21"/>
          <w:szCs w:val="21"/>
        </w:rPr>
        <w:t>平安财富</w:t>
      </w:r>
      <w:r w:rsidR="002D47FC">
        <w:rPr>
          <w:rFonts w:ascii="宋体" w:eastAsia="宋体" w:hAnsi="宋体" w:hint="eastAsia"/>
          <w:b/>
          <w:snapToGrid w:val="0"/>
          <w:color w:val="000000"/>
          <w:sz w:val="21"/>
          <w:szCs w:val="21"/>
        </w:rPr>
        <w:t>-</w:t>
      </w:r>
      <w:r w:rsidR="003D041B" w:rsidRPr="003D041B">
        <w:rPr>
          <w:rFonts w:ascii="宋体" w:eastAsia="宋体" w:hAnsi="宋体" w:hint="eastAsia"/>
          <w:b/>
          <w:snapToGrid w:val="0"/>
          <w:color w:val="000000"/>
          <w:sz w:val="21"/>
          <w:szCs w:val="21"/>
        </w:rPr>
        <w:t>结构类（100%保本</w:t>
      </w:r>
      <w:r w:rsidR="003D041B" w:rsidRPr="000B4A13">
        <w:rPr>
          <w:rFonts w:ascii="宋体" w:eastAsia="宋体" w:hAnsi="宋体" w:hint="eastAsia"/>
          <w:b/>
          <w:snapToGrid w:val="0"/>
          <w:color w:val="000000"/>
          <w:sz w:val="21"/>
          <w:szCs w:val="21"/>
          <w:highlight w:val="yellow"/>
        </w:rPr>
        <w:t>挂钩</w:t>
      </w:r>
      <w:r w:rsidR="00AD6BFA">
        <w:rPr>
          <w:rFonts w:ascii="宋体" w:eastAsia="宋体" w:hAnsi="宋体" w:hint="eastAsia"/>
          <w:b/>
          <w:snapToGrid w:val="0"/>
          <w:color w:val="000000"/>
          <w:sz w:val="21"/>
          <w:szCs w:val="21"/>
          <w:highlight w:val="yellow"/>
        </w:rPr>
        <w:t>股票</w:t>
      </w:r>
      <w:r w:rsidR="003D041B" w:rsidRPr="003D041B">
        <w:rPr>
          <w:rFonts w:ascii="宋体" w:eastAsia="宋体" w:hAnsi="宋体" w:hint="eastAsia"/>
          <w:b/>
          <w:snapToGrid w:val="0"/>
          <w:color w:val="000000"/>
          <w:sz w:val="21"/>
          <w:szCs w:val="21"/>
        </w:rPr>
        <w:t>）资产管理类</w:t>
      </w:r>
      <w:r w:rsidR="003D041B" w:rsidRPr="003D041B">
        <w:rPr>
          <w:rFonts w:ascii="宋体" w:eastAsia="宋体" w:hAnsi="宋体" w:hint="eastAsia"/>
          <w:b/>
          <w:snapToGrid w:val="0"/>
          <w:color w:val="000000"/>
          <w:sz w:val="21"/>
          <w:szCs w:val="21"/>
          <w:highlight w:val="yellow"/>
        </w:rPr>
        <w:t>2014年</w:t>
      </w:r>
      <w:r w:rsidR="00256C88">
        <w:rPr>
          <w:rFonts w:ascii="宋体" w:eastAsia="宋体" w:hAnsi="宋体" w:hint="eastAsia"/>
          <w:b/>
          <w:snapToGrid w:val="0"/>
          <w:color w:val="000000"/>
          <w:sz w:val="21"/>
          <w:szCs w:val="21"/>
          <w:highlight w:val="yellow"/>
        </w:rPr>
        <w:t>37</w:t>
      </w:r>
      <w:r w:rsidR="003D041B" w:rsidRPr="003D041B">
        <w:rPr>
          <w:rFonts w:ascii="宋体" w:eastAsia="宋体" w:hAnsi="宋体" w:hint="eastAsia"/>
          <w:b/>
          <w:snapToGrid w:val="0"/>
          <w:color w:val="000000"/>
          <w:sz w:val="21"/>
          <w:szCs w:val="21"/>
          <w:highlight w:val="yellow"/>
        </w:rPr>
        <w:t>期</w:t>
      </w:r>
      <w:r w:rsidR="003D041B" w:rsidRPr="003D041B">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w:t>
      </w:r>
      <w:r w:rsidRPr="000D2FD8">
        <w:rPr>
          <w:rFonts w:ascii="宋体" w:eastAsia="宋体" w:hAnsi="宋体" w:hint="eastAsia"/>
          <w:snapToGrid w:val="0"/>
          <w:color w:val="000000"/>
          <w:sz w:val="21"/>
          <w:szCs w:val="21"/>
        </w:rPr>
        <w:lastRenderedPageBreak/>
        <w:t>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EC6459"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EC6459"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D47FC">
        <w:rPr>
          <w:rFonts w:ascii="宋体" w:eastAsia="楷体_GB2312" w:hAnsi="宋体" w:cs="宋体" w:hint="eastAsia"/>
          <w:b/>
          <w:bCs/>
          <w:kern w:val="0"/>
          <w:sz w:val="24"/>
          <w:szCs w:val="21"/>
        </w:rPr>
        <w:t>平安财富</w:t>
      </w:r>
      <w:r w:rsidR="002D47FC">
        <w:rPr>
          <w:rFonts w:ascii="宋体" w:eastAsia="楷体_GB2312" w:hAnsi="宋体" w:cs="宋体" w:hint="eastAsia"/>
          <w:b/>
          <w:bCs/>
          <w:kern w:val="0"/>
          <w:sz w:val="24"/>
          <w:szCs w:val="21"/>
        </w:rPr>
        <w:t>-</w:t>
      </w:r>
      <w:r w:rsidR="002D47FC">
        <w:rPr>
          <w:rFonts w:ascii="宋体" w:eastAsia="楷体_GB2312" w:hAnsi="宋体" w:cs="宋体" w:hint="eastAsia"/>
          <w:b/>
          <w:bCs/>
          <w:kern w:val="0"/>
          <w:sz w:val="24"/>
          <w:szCs w:val="21"/>
        </w:rPr>
        <w:t>结构类（</w:t>
      </w:r>
      <w:r w:rsidR="002D47FC">
        <w:rPr>
          <w:rFonts w:ascii="宋体" w:eastAsia="楷体_GB2312" w:hAnsi="宋体" w:cs="宋体" w:hint="eastAsia"/>
          <w:b/>
          <w:bCs/>
          <w:kern w:val="0"/>
          <w:sz w:val="24"/>
          <w:szCs w:val="21"/>
        </w:rPr>
        <w:t>100%</w:t>
      </w:r>
      <w:r w:rsidR="002D47FC">
        <w:rPr>
          <w:rFonts w:ascii="宋体" w:eastAsia="楷体_GB2312" w:hAnsi="宋体" w:cs="宋体" w:hint="eastAsia"/>
          <w:b/>
          <w:bCs/>
          <w:kern w:val="0"/>
          <w:sz w:val="24"/>
          <w:szCs w:val="21"/>
        </w:rPr>
        <w:t>保本挂钩股票）资产管理类</w:t>
      </w:r>
      <w:r w:rsidR="002D47FC">
        <w:rPr>
          <w:rFonts w:ascii="宋体" w:eastAsia="楷体_GB2312" w:hAnsi="宋体" w:cs="宋体" w:hint="eastAsia"/>
          <w:b/>
          <w:bCs/>
          <w:kern w:val="0"/>
          <w:sz w:val="24"/>
          <w:szCs w:val="21"/>
        </w:rPr>
        <w:t>2014</w:t>
      </w:r>
      <w:r w:rsidR="002D47FC">
        <w:rPr>
          <w:rFonts w:ascii="宋体" w:eastAsia="楷体_GB2312" w:hAnsi="宋体" w:cs="宋体" w:hint="eastAsia"/>
          <w:b/>
          <w:bCs/>
          <w:kern w:val="0"/>
          <w:sz w:val="24"/>
          <w:szCs w:val="21"/>
        </w:rPr>
        <w:t>年</w:t>
      </w:r>
      <w:r w:rsidR="002D47FC">
        <w:rPr>
          <w:rFonts w:ascii="宋体" w:eastAsia="楷体_GB2312" w:hAnsi="宋体" w:cs="宋体" w:hint="eastAsia"/>
          <w:b/>
          <w:bCs/>
          <w:kern w:val="0"/>
          <w:sz w:val="24"/>
          <w:szCs w:val="21"/>
        </w:rPr>
        <w:t>37</w:t>
      </w:r>
      <w:r w:rsidR="002D47FC">
        <w:rPr>
          <w:rFonts w:ascii="宋体" w:eastAsia="楷体_GB2312" w:hAnsi="宋体" w:cs="宋体" w:hint="eastAsia"/>
          <w:b/>
          <w:bCs/>
          <w:kern w:val="0"/>
          <w:sz w:val="24"/>
          <w:szCs w:val="21"/>
        </w:rPr>
        <w:t>期人民币理财产品说</w:t>
      </w:r>
      <w:r w:rsidRPr="000D2FD8">
        <w:rPr>
          <w:rFonts w:ascii="宋体" w:eastAsia="楷体_GB2312" w:hAnsi="宋体" w:cs="宋体" w:hint="eastAsia"/>
          <w:b/>
          <w:bCs/>
          <w:kern w:val="0"/>
          <w:sz w:val="24"/>
          <w:szCs w:val="21"/>
        </w:rPr>
        <w:t>明书</w:t>
      </w:r>
      <w:r w:rsidR="00EA3C9B" w:rsidRPr="000D2FD8">
        <w:rPr>
          <w:rFonts w:ascii="宋体" w:eastAsia="楷体_GB2312" w:hAnsi="宋体" w:cs="宋体" w:hint="eastAsia"/>
          <w:b/>
          <w:bCs/>
          <w:kern w:val="0"/>
          <w:sz w:val="24"/>
          <w:szCs w:val="21"/>
        </w:rPr>
        <w:t>》</w:t>
      </w:r>
      <w:bookmarkStart w:id="0" w:name="_GoBack"/>
      <w:bookmarkEnd w:id="0"/>
      <w:r w:rsidRPr="000D2FD8">
        <w:rPr>
          <w:rFonts w:eastAsia="楷体_GB2312" w:hAnsi="宋体" w:cs="宋体" w:hint="eastAsia"/>
          <w:b/>
          <w:bCs/>
          <w:kern w:val="0"/>
          <w:sz w:val="24"/>
          <w:szCs w:val="21"/>
        </w:rPr>
        <w:t>，共</w:t>
      </w:r>
      <w:r w:rsidR="003E4577">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30C" w:rsidRDefault="0094030C" w:rsidP="004B657F">
      <w:r>
        <w:separator/>
      </w:r>
    </w:p>
  </w:endnote>
  <w:endnote w:type="continuationSeparator" w:id="1">
    <w:p w:rsidR="0094030C" w:rsidRDefault="0094030C"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C015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C015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2D47FC">
      <w:rPr>
        <w:rStyle w:val="ac"/>
        <w:noProof/>
      </w:rPr>
      <w:t>5</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C015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C015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45B7">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30C" w:rsidRDefault="0094030C" w:rsidP="004B657F">
      <w:r>
        <w:separator/>
      </w:r>
    </w:p>
  </w:footnote>
  <w:footnote w:type="continuationSeparator" w:id="1">
    <w:p w:rsidR="0094030C" w:rsidRDefault="0094030C"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4EA6"/>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05A"/>
    <w:rsid w:val="0007421B"/>
    <w:rsid w:val="000751B5"/>
    <w:rsid w:val="00082515"/>
    <w:rsid w:val="00086724"/>
    <w:rsid w:val="00091025"/>
    <w:rsid w:val="00094F08"/>
    <w:rsid w:val="00094FA4"/>
    <w:rsid w:val="000952DA"/>
    <w:rsid w:val="00095BC3"/>
    <w:rsid w:val="000A4C90"/>
    <w:rsid w:val="000A534A"/>
    <w:rsid w:val="000A7E41"/>
    <w:rsid w:val="000B4A13"/>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3935"/>
    <w:rsid w:val="001C5650"/>
    <w:rsid w:val="001C7FB4"/>
    <w:rsid w:val="001D2E4B"/>
    <w:rsid w:val="001D3F61"/>
    <w:rsid w:val="001D5095"/>
    <w:rsid w:val="001D552E"/>
    <w:rsid w:val="001D5548"/>
    <w:rsid w:val="001D727A"/>
    <w:rsid w:val="001D72E9"/>
    <w:rsid w:val="001D7BD6"/>
    <w:rsid w:val="001E13C6"/>
    <w:rsid w:val="001E33E7"/>
    <w:rsid w:val="001E6D54"/>
    <w:rsid w:val="001E774E"/>
    <w:rsid w:val="001F0222"/>
    <w:rsid w:val="001F1448"/>
    <w:rsid w:val="001F1E50"/>
    <w:rsid w:val="001F2C01"/>
    <w:rsid w:val="001F3882"/>
    <w:rsid w:val="001F4A33"/>
    <w:rsid w:val="001F5E64"/>
    <w:rsid w:val="00201428"/>
    <w:rsid w:val="00206038"/>
    <w:rsid w:val="0021020A"/>
    <w:rsid w:val="00211B89"/>
    <w:rsid w:val="00212F9D"/>
    <w:rsid w:val="00213632"/>
    <w:rsid w:val="0021512B"/>
    <w:rsid w:val="00220A63"/>
    <w:rsid w:val="00223510"/>
    <w:rsid w:val="002242E6"/>
    <w:rsid w:val="0022519C"/>
    <w:rsid w:val="00225BE0"/>
    <w:rsid w:val="002279A3"/>
    <w:rsid w:val="00230AEE"/>
    <w:rsid w:val="00232BF4"/>
    <w:rsid w:val="0023609C"/>
    <w:rsid w:val="002418E6"/>
    <w:rsid w:val="00241AA7"/>
    <w:rsid w:val="0024478E"/>
    <w:rsid w:val="00244EDD"/>
    <w:rsid w:val="002450E5"/>
    <w:rsid w:val="00252826"/>
    <w:rsid w:val="00255751"/>
    <w:rsid w:val="00256C88"/>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5894"/>
    <w:rsid w:val="002876AB"/>
    <w:rsid w:val="002921B9"/>
    <w:rsid w:val="00293D91"/>
    <w:rsid w:val="002963DD"/>
    <w:rsid w:val="0029727E"/>
    <w:rsid w:val="002A06A2"/>
    <w:rsid w:val="002A16B6"/>
    <w:rsid w:val="002B03B9"/>
    <w:rsid w:val="002B0766"/>
    <w:rsid w:val="002B5C15"/>
    <w:rsid w:val="002B73CE"/>
    <w:rsid w:val="002B7D1E"/>
    <w:rsid w:val="002C083F"/>
    <w:rsid w:val="002C341B"/>
    <w:rsid w:val="002C5A5F"/>
    <w:rsid w:val="002C7108"/>
    <w:rsid w:val="002D0854"/>
    <w:rsid w:val="002D1637"/>
    <w:rsid w:val="002D1709"/>
    <w:rsid w:val="002D240F"/>
    <w:rsid w:val="002D3817"/>
    <w:rsid w:val="002D47FC"/>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07C7A"/>
    <w:rsid w:val="00310A23"/>
    <w:rsid w:val="00312F3C"/>
    <w:rsid w:val="00313062"/>
    <w:rsid w:val="00315646"/>
    <w:rsid w:val="00316476"/>
    <w:rsid w:val="00323B9A"/>
    <w:rsid w:val="00325586"/>
    <w:rsid w:val="00332CF8"/>
    <w:rsid w:val="00334785"/>
    <w:rsid w:val="00341401"/>
    <w:rsid w:val="0034396A"/>
    <w:rsid w:val="0034685B"/>
    <w:rsid w:val="003468A7"/>
    <w:rsid w:val="0034754E"/>
    <w:rsid w:val="0035068F"/>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29D4"/>
    <w:rsid w:val="00384733"/>
    <w:rsid w:val="00384992"/>
    <w:rsid w:val="0038570B"/>
    <w:rsid w:val="003869DA"/>
    <w:rsid w:val="003912AC"/>
    <w:rsid w:val="003921C5"/>
    <w:rsid w:val="00392E31"/>
    <w:rsid w:val="00393FDB"/>
    <w:rsid w:val="0039422C"/>
    <w:rsid w:val="00396EF3"/>
    <w:rsid w:val="0039710F"/>
    <w:rsid w:val="0039740F"/>
    <w:rsid w:val="003A13C7"/>
    <w:rsid w:val="003A4479"/>
    <w:rsid w:val="003A59D1"/>
    <w:rsid w:val="003A626D"/>
    <w:rsid w:val="003B09AD"/>
    <w:rsid w:val="003B295E"/>
    <w:rsid w:val="003B2B3C"/>
    <w:rsid w:val="003B5703"/>
    <w:rsid w:val="003B58DF"/>
    <w:rsid w:val="003B5EC7"/>
    <w:rsid w:val="003B713E"/>
    <w:rsid w:val="003B7484"/>
    <w:rsid w:val="003B7D83"/>
    <w:rsid w:val="003C0046"/>
    <w:rsid w:val="003C5514"/>
    <w:rsid w:val="003C5D83"/>
    <w:rsid w:val="003C771C"/>
    <w:rsid w:val="003D041B"/>
    <w:rsid w:val="003D0DE1"/>
    <w:rsid w:val="003D21B8"/>
    <w:rsid w:val="003D2967"/>
    <w:rsid w:val="003D6E56"/>
    <w:rsid w:val="003E1110"/>
    <w:rsid w:val="003E1A8C"/>
    <w:rsid w:val="003E1D2D"/>
    <w:rsid w:val="003E4577"/>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AFC"/>
    <w:rsid w:val="00481F61"/>
    <w:rsid w:val="00486228"/>
    <w:rsid w:val="004869D0"/>
    <w:rsid w:val="00486C7E"/>
    <w:rsid w:val="00486F17"/>
    <w:rsid w:val="00487023"/>
    <w:rsid w:val="00487092"/>
    <w:rsid w:val="0049251A"/>
    <w:rsid w:val="00493AE2"/>
    <w:rsid w:val="00494C7C"/>
    <w:rsid w:val="00495349"/>
    <w:rsid w:val="00496913"/>
    <w:rsid w:val="00496A2C"/>
    <w:rsid w:val="004971BC"/>
    <w:rsid w:val="0049786E"/>
    <w:rsid w:val="004A0408"/>
    <w:rsid w:val="004A66F3"/>
    <w:rsid w:val="004A7753"/>
    <w:rsid w:val="004B054C"/>
    <w:rsid w:val="004B3FCB"/>
    <w:rsid w:val="004B45B7"/>
    <w:rsid w:val="004B5191"/>
    <w:rsid w:val="004B657F"/>
    <w:rsid w:val="004B6915"/>
    <w:rsid w:val="004C2CBA"/>
    <w:rsid w:val="004C3041"/>
    <w:rsid w:val="004C40D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87C"/>
    <w:rsid w:val="004F4938"/>
    <w:rsid w:val="004F4C49"/>
    <w:rsid w:val="004F4FB9"/>
    <w:rsid w:val="00505D05"/>
    <w:rsid w:val="00506AC4"/>
    <w:rsid w:val="00507B5F"/>
    <w:rsid w:val="005106BE"/>
    <w:rsid w:val="00511D4B"/>
    <w:rsid w:val="0051580D"/>
    <w:rsid w:val="005167EC"/>
    <w:rsid w:val="00520257"/>
    <w:rsid w:val="005223BD"/>
    <w:rsid w:val="005245C0"/>
    <w:rsid w:val="00527A29"/>
    <w:rsid w:val="00531276"/>
    <w:rsid w:val="00537668"/>
    <w:rsid w:val="00537873"/>
    <w:rsid w:val="00540566"/>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23AF"/>
    <w:rsid w:val="0057332B"/>
    <w:rsid w:val="00576212"/>
    <w:rsid w:val="005763CF"/>
    <w:rsid w:val="005764BA"/>
    <w:rsid w:val="005823B6"/>
    <w:rsid w:val="00583CC8"/>
    <w:rsid w:val="00583CCD"/>
    <w:rsid w:val="00586658"/>
    <w:rsid w:val="0059236A"/>
    <w:rsid w:val="005935D5"/>
    <w:rsid w:val="00593625"/>
    <w:rsid w:val="00595F7B"/>
    <w:rsid w:val="00597CE3"/>
    <w:rsid w:val="005A213C"/>
    <w:rsid w:val="005A52EB"/>
    <w:rsid w:val="005A54DF"/>
    <w:rsid w:val="005A6989"/>
    <w:rsid w:val="005B00F3"/>
    <w:rsid w:val="005B5647"/>
    <w:rsid w:val="005B6B2A"/>
    <w:rsid w:val="005B7CCF"/>
    <w:rsid w:val="005C1A5C"/>
    <w:rsid w:val="005C4D2A"/>
    <w:rsid w:val="005D04CB"/>
    <w:rsid w:val="005D3A11"/>
    <w:rsid w:val="005D411E"/>
    <w:rsid w:val="005D5C6C"/>
    <w:rsid w:val="005D5DD2"/>
    <w:rsid w:val="005E34CB"/>
    <w:rsid w:val="005E42FA"/>
    <w:rsid w:val="005E5BB3"/>
    <w:rsid w:val="005E66B5"/>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2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15ED"/>
    <w:rsid w:val="00715752"/>
    <w:rsid w:val="00720741"/>
    <w:rsid w:val="00721311"/>
    <w:rsid w:val="007223FA"/>
    <w:rsid w:val="00722A7F"/>
    <w:rsid w:val="007235B5"/>
    <w:rsid w:val="0072480C"/>
    <w:rsid w:val="00724BEE"/>
    <w:rsid w:val="00730F49"/>
    <w:rsid w:val="00732481"/>
    <w:rsid w:val="00735ED2"/>
    <w:rsid w:val="007378A4"/>
    <w:rsid w:val="00744ABB"/>
    <w:rsid w:val="0074726A"/>
    <w:rsid w:val="00750D54"/>
    <w:rsid w:val="00756948"/>
    <w:rsid w:val="007653E0"/>
    <w:rsid w:val="007666CF"/>
    <w:rsid w:val="00766DB3"/>
    <w:rsid w:val="007712A0"/>
    <w:rsid w:val="00773669"/>
    <w:rsid w:val="007737D7"/>
    <w:rsid w:val="00776318"/>
    <w:rsid w:val="00777099"/>
    <w:rsid w:val="00780420"/>
    <w:rsid w:val="007817AD"/>
    <w:rsid w:val="00786798"/>
    <w:rsid w:val="00786B51"/>
    <w:rsid w:val="007927B9"/>
    <w:rsid w:val="0079505A"/>
    <w:rsid w:val="00797B73"/>
    <w:rsid w:val="007A30ED"/>
    <w:rsid w:val="007A6E3E"/>
    <w:rsid w:val="007A7470"/>
    <w:rsid w:val="007A7D16"/>
    <w:rsid w:val="007B43C4"/>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15F"/>
    <w:rsid w:val="00804EB1"/>
    <w:rsid w:val="0080590A"/>
    <w:rsid w:val="008077B2"/>
    <w:rsid w:val="008129C2"/>
    <w:rsid w:val="00814B01"/>
    <w:rsid w:val="00814F47"/>
    <w:rsid w:val="00822A19"/>
    <w:rsid w:val="008247CF"/>
    <w:rsid w:val="00825618"/>
    <w:rsid w:val="00826B31"/>
    <w:rsid w:val="00826B9A"/>
    <w:rsid w:val="0083675E"/>
    <w:rsid w:val="00844EB5"/>
    <w:rsid w:val="008461A1"/>
    <w:rsid w:val="008549C0"/>
    <w:rsid w:val="008558FE"/>
    <w:rsid w:val="00855F31"/>
    <w:rsid w:val="00857BCB"/>
    <w:rsid w:val="00860B27"/>
    <w:rsid w:val="0086207A"/>
    <w:rsid w:val="008652C0"/>
    <w:rsid w:val="00866CC9"/>
    <w:rsid w:val="00870530"/>
    <w:rsid w:val="00873136"/>
    <w:rsid w:val="00873936"/>
    <w:rsid w:val="00875FCC"/>
    <w:rsid w:val="00877A82"/>
    <w:rsid w:val="0088005D"/>
    <w:rsid w:val="0088021E"/>
    <w:rsid w:val="00880973"/>
    <w:rsid w:val="00881692"/>
    <w:rsid w:val="00881FAB"/>
    <w:rsid w:val="00885C6B"/>
    <w:rsid w:val="00886C2B"/>
    <w:rsid w:val="008911CC"/>
    <w:rsid w:val="008A019E"/>
    <w:rsid w:val="008A11B5"/>
    <w:rsid w:val="008A3F68"/>
    <w:rsid w:val="008A62DB"/>
    <w:rsid w:val="008A7018"/>
    <w:rsid w:val="008A781A"/>
    <w:rsid w:val="008B2E8B"/>
    <w:rsid w:val="008B4661"/>
    <w:rsid w:val="008C2327"/>
    <w:rsid w:val="008C29A2"/>
    <w:rsid w:val="008C3298"/>
    <w:rsid w:val="008C4F7A"/>
    <w:rsid w:val="008C59DE"/>
    <w:rsid w:val="008C64DB"/>
    <w:rsid w:val="008C68C0"/>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AA5"/>
    <w:rsid w:val="00911D0F"/>
    <w:rsid w:val="00912AAD"/>
    <w:rsid w:val="00913081"/>
    <w:rsid w:val="00913911"/>
    <w:rsid w:val="00914D84"/>
    <w:rsid w:val="00921CED"/>
    <w:rsid w:val="00925997"/>
    <w:rsid w:val="009274CD"/>
    <w:rsid w:val="009304A1"/>
    <w:rsid w:val="009323FD"/>
    <w:rsid w:val="00932E7E"/>
    <w:rsid w:val="0093533C"/>
    <w:rsid w:val="0094030C"/>
    <w:rsid w:val="009408F6"/>
    <w:rsid w:val="0094609B"/>
    <w:rsid w:val="009466A4"/>
    <w:rsid w:val="00947F30"/>
    <w:rsid w:val="009504E1"/>
    <w:rsid w:val="00950D5D"/>
    <w:rsid w:val="0095100B"/>
    <w:rsid w:val="009514B6"/>
    <w:rsid w:val="0095263A"/>
    <w:rsid w:val="00954650"/>
    <w:rsid w:val="00961A0C"/>
    <w:rsid w:val="009636F5"/>
    <w:rsid w:val="009649F3"/>
    <w:rsid w:val="00973F39"/>
    <w:rsid w:val="00974C0A"/>
    <w:rsid w:val="00980008"/>
    <w:rsid w:val="0098671C"/>
    <w:rsid w:val="00987755"/>
    <w:rsid w:val="00991B1D"/>
    <w:rsid w:val="009975A6"/>
    <w:rsid w:val="0099765C"/>
    <w:rsid w:val="009977A5"/>
    <w:rsid w:val="009A0189"/>
    <w:rsid w:val="009A10CA"/>
    <w:rsid w:val="009A215E"/>
    <w:rsid w:val="009A3666"/>
    <w:rsid w:val="009A4537"/>
    <w:rsid w:val="009A4C24"/>
    <w:rsid w:val="009A6825"/>
    <w:rsid w:val="009B1A5A"/>
    <w:rsid w:val="009B26F1"/>
    <w:rsid w:val="009B3583"/>
    <w:rsid w:val="009B4D06"/>
    <w:rsid w:val="009C0EA7"/>
    <w:rsid w:val="009C277B"/>
    <w:rsid w:val="009C713A"/>
    <w:rsid w:val="009D13A0"/>
    <w:rsid w:val="009D560A"/>
    <w:rsid w:val="009E1B87"/>
    <w:rsid w:val="009E6389"/>
    <w:rsid w:val="009E6F79"/>
    <w:rsid w:val="009F45B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06E0"/>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6BFA"/>
    <w:rsid w:val="00AE00BA"/>
    <w:rsid w:val="00AE05D9"/>
    <w:rsid w:val="00AE07B5"/>
    <w:rsid w:val="00AE190A"/>
    <w:rsid w:val="00AE36A4"/>
    <w:rsid w:val="00AE43EC"/>
    <w:rsid w:val="00AE5714"/>
    <w:rsid w:val="00AE6137"/>
    <w:rsid w:val="00AE730A"/>
    <w:rsid w:val="00AE7D06"/>
    <w:rsid w:val="00AF3D77"/>
    <w:rsid w:val="00B0059D"/>
    <w:rsid w:val="00B011D4"/>
    <w:rsid w:val="00B058F7"/>
    <w:rsid w:val="00B06409"/>
    <w:rsid w:val="00B14C98"/>
    <w:rsid w:val="00B159BC"/>
    <w:rsid w:val="00B15FEE"/>
    <w:rsid w:val="00B16EE7"/>
    <w:rsid w:val="00B21D40"/>
    <w:rsid w:val="00B22D42"/>
    <w:rsid w:val="00B22DE8"/>
    <w:rsid w:val="00B237B8"/>
    <w:rsid w:val="00B243AB"/>
    <w:rsid w:val="00B27EF6"/>
    <w:rsid w:val="00B35CBB"/>
    <w:rsid w:val="00B37723"/>
    <w:rsid w:val="00B42DA8"/>
    <w:rsid w:val="00B42EB2"/>
    <w:rsid w:val="00B4369B"/>
    <w:rsid w:val="00B44990"/>
    <w:rsid w:val="00B4627E"/>
    <w:rsid w:val="00B47668"/>
    <w:rsid w:val="00B47A0A"/>
    <w:rsid w:val="00B47E3A"/>
    <w:rsid w:val="00B50F0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2FA9"/>
    <w:rsid w:val="00BB3666"/>
    <w:rsid w:val="00BC0157"/>
    <w:rsid w:val="00BC0BBD"/>
    <w:rsid w:val="00BC4379"/>
    <w:rsid w:val="00BC4C45"/>
    <w:rsid w:val="00BC5720"/>
    <w:rsid w:val="00BC7465"/>
    <w:rsid w:val="00BC7AD3"/>
    <w:rsid w:val="00BD1B55"/>
    <w:rsid w:val="00BD55B0"/>
    <w:rsid w:val="00BD5B44"/>
    <w:rsid w:val="00BD735F"/>
    <w:rsid w:val="00BF140B"/>
    <w:rsid w:val="00BF4B05"/>
    <w:rsid w:val="00C00C0D"/>
    <w:rsid w:val="00C05D91"/>
    <w:rsid w:val="00C061FB"/>
    <w:rsid w:val="00C11DB7"/>
    <w:rsid w:val="00C125DE"/>
    <w:rsid w:val="00C126CF"/>
    <w:rsid w:val="00C127F6"/>
    <w:rsid w:val="00C15DCD"/>
    <w:rsid w:val="00C167F2"/>
    <w:rsid w:val="00C170B3"/>
    <w:rsid w:val="00C200B9"/>
    <w:rsid w:val="00C22666"/>
    <w:rsid w:val="00C236FF"/>
    <w:rsid w:val="00C24984"/>
    <w:rsid w:val="00C24C3D"/>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004"/>
    <w:rsid w:val="00C76116"/>
    <w:rsid w:val="00C76BB1"/>
    <w:rsid w:val="00C76C39"/>
    <w:rsid w:val="00C76F09"/>
    <w:rsid w:val="00C76F51"/>
    <w:rsid w:val="00C80180"/>
    <w:rsid w:val="00C80B95"/>
    <w:rsid w:val="00C818CE"/>
    <w:rsid w:val="00C81B30"/>
    <w:rsid w:val="00C8256A"/>
    <w:rsid w:val="00C82F78"/>
    <w:rsid w:val="00C84FBB"/>
    <w:rsid w:val="00C8515E"/>
    <w:rsid w:val="00C86F7F"/>
    <w:rsid w:val="00C909D1"/>
    <w:rsid w:val="00C92ADE"/>
    <w:rsid w:val="00C930FD"/>
    <w:rsid w:val="00C933B6"/>
    <w:rsid w:val="00C95DBA"/>
    <w:rsid w:val="00C96F7A"/>
    <w:rsid w:val="00CA1514"/>
    <w:rsid w:val="00CA1DA3"/>
    <w:rsid w:val="00CA22E1"/>
    <w:rsid w:val="00CA402E"/>
    <w:rsid w:val="00CA4210"/>
    <w:rsid w:val="00CA559D"/>
    <w:rsid w:val="00CA5A07"/>
    <w:rsid w:val="00CA74D7"/>
    <w:rsid w:val="00CB0955"/>
    <w:rsid w:val="00CB2C4A"/>
    <w:rsid w:val="00CB379E"/>
    <w:rsid w:val="00CB3AF4"/>
    <w:rsid w:val="00CB40C0"/>
    <w:rsid w:val="00CB4374"/>
    <w:rsid w:val="00CB7632"/>
    <w:rsid w:val="00CB7856"/>
    <w:rsid w:val="00CC04A2"/>
    <w:rsid w:val="00CC4AE4"/>
    <w:rsid w:val="00CC6C21"/>
    <w:rsid w:val="00CC735A"/>
    <w:rsid w:val="00CD32B4"/>
    <w:rsid w:val="00CD3613"/>
    <w:rsid w:val="00CD39B6"/>
    <w:rsid w:val="00CD3D70"/>
    <w:rsid w:val="00CD4C8B"/>
    <w:rsid w:val="00CD616E"/>
    <w:rsid w:val="00CE6B8D"/>
    <w:rsid w:val="00CE76DE"/>
    <w:rsid w:val="00CF0BE4"/>
    <w:rsid w:val="00CF1EC1"/>
    <w:rsid w:val="00CF702E"/>
    <w:rsid w:val="00D0132D"/>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1F49"/>
    <w:rsid w:val="00DA3D6A"/>
    <w:rsid w:val="00DA3F7D"/>
    <w:rsid w:val="00DB0C62"/>
    <w:rsid w:val="00DB184C"/>
    <w:rsid w:val="00DB1FC5"/>
    <w:rsid w:val="00DB3677"/>
    <w:rsid w:val="00DB384E"/>
    <w:rsid w:val="00DB7E21"/>
    <w:rsid w:val="00DC360F"/>
    <w:rsid w:val="00DC62F3"/>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1FB8"/>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D7C"/>
    <w:rsid w:val="00E6178E"/>
    <w:rsid w:val="00E61DF1"/>
    <w:rsid w:val="00E62030"/>
    <w:rsid w:val="00E637B9"/>
    <w:rsid w:val="00E64DD0"/>
    <w:rsid w:val="00E72DBB"/>
    <w:rsid w:val="00E7324E"/>
    <w:rsid w:val="00E7441C"/>
    <w:rsid w:val="00E81274"/>
    <w:rsid w:val="00E8319E"/>
    <w:rsid w:val="00E84561"/>
    <w:rsid w:val="00E85593"/>
    <w:rsid w:val="00E85F0D"/>
    <w:rsid w:val="00E8647E"/>
    <w:rsid w:val="00E92A13"/>
    <w:rsid w:val="00E96F81"/>
    <w:rsid w:val="00EA06EE"/>
    <w:rsid w:val="00EA388C"/>
    <w:rsid w:val="00EA3C9B"/>
    <w:rsid w:val="00EA53C6"/>
    <w:rsid w:val="00EB0963"/>
    <w:rsid w:val="00EB256D"/>
    <w:rsid w:val="00EB2799"/>
    <w:rsid w:val="00EB3316"/>
    <w:rsid w:val="00EB39BA"/>
    <w:rsid w:val="00EC2B49"/>
    <w:rsid w:val="00EC3398"/>
    <w:rsid w:val="00EC446D"/>
    <w:rsid w:val="00EC4AF7"/>
    <w:rsid w:val="00EC6459"/>
    <w:rsid w:val="00EC66B5"/>
    <w:rsid w:val="00EC78EB"/>
    <w:rsid w:val="00ED03F9"/>
    <w:rsid w:val="00ED0D63"/>
    <w:rsid w:val="00ED3691"/>
    <w:rsid w:val="00EE2AE8"/>
    <w:rsid w:val="00EE49A9"/>
    <w:rsid w:val="00EE6891"/>
    <w:rsid w:val="00EE7801"/>
    <w:rsid w:val="00EF0D48"/>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939"/>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10E6"/>
    <w:rsid w:val="00FD3252"/>
    <w:rsid w:val="00FE0D8E"/>
    <w:rsid w:val="00FE1A42"/>
    <w:rsid w:val="00FE3390"/>
    <w:rsid w:val="00FE445B"/>
    <w:rsid w:val="00FE45A2"/>
    <w:rsid w:val="00FE6A86"/>
    <w:rsid w:val="00FE71A5"/>
    <w:rsid w:val="00FF034E"/>
    <w:rsid w:val="00FF03A4"/>
    <w:rsid w:val="00FF07F2"/>
    <w:rsid w:val="00FF1B03"/>
    <w:rsid w:val="00FF1B45"/>
    <w:rsid w:val="00FF2C93"/>
    <w:rsid w:val="00FF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 w:type="paragraph" w:customStyle="1" w:styleId="Default">
    <w:name w:val="Default"/>
    <w:rsid w:val="003D041B"/>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787922">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141</TotalTime>
  <Pages>6</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11</cp:revision>
  <cp:lastPrinted>2013-12-24T07:25:00Z</cp:lastPrinted>
  <dcterms:created xsi:type="dcterms:W3CDTF">2014-01-21T06:13:00Z</dcterms:created>
  <dcterms:modified xsi:type="dcterms:W3CDTF">2014-02-25T10:19:00Z</dcterms:modified>
</cp:coreProperties>
</file>