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052FD0" w:rsidTr="00052FD0">
        <w:trPr>
          <w:trHeight w:val="735"/>
        </w:trPr>
        <w:tc>
          <w:tcPr>
            <w:tcW w:w="8240" w:type="dxa"/>
            <w:gridSpan w:val="3"/>
            <w:tcBorders>
              <w:top w:val="nil"/>
              <w:left w:val="nil"/>
              <w:bottom w:val="nil"/>
              <w:right w:val="nil"/>
            </w:tcBorders>
            <w:shd w:val="clear" w:color="auto" w:fill="auto"/>
            <w:vAlign w:val="center"/>
            <w:hideMark/>
          </w:tcPr>
          <w:p w:rsidR="00052FD0" w:rsidRDefault="00052FD0">
            <w:pPr>
              <w:widowControl/>
              <w:jc w:val="center"/>
              <w:rPr>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169</w:t>
            </w:r>
            <w:r>
              <w:rPr>
                <w:rFonts w:hint="eastAsia"/>
                <w:b/>
                <w:bCs/>
                <w:color w:val="000000"/>
                <w:sz w:val="28"/>
                <w:szCs w:val="28"/>
              </w:rPr>
              <w:t>期人民币理财产品说明书</w:t>
            </w:r>
          </w:p>
        </w:tc>
      </w:tr>
      <w:tr w:rsidR="00052FD0" w:rsidTr="00052FD0">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52FD0" w:rsidRDefault="00052FD0">
            <w:pPr>
              <w:jc w:val="left"/>
              <w:rPr>
                <w:rFonts w:ascii="仿宋" w:eastAsia="仿宋" w:hAnsi="仿宋"/>
                <w:b/>
                <w:bCs/>
                <w:color w:val="000000"/>
                <w:sz w:val="22"/>
              </w:rPr>
            </w:pPr>
            <w:r>
              <w:rPr>
                <w:rFonts w:ascii="仿宋" w:eastAsia="仿宋" w:hAnsi="仿宋" w:hint="eastAsia"/>
                <w:b/>
                <w:bCs/>
                <w:color w:val="000000"/>
                <w:sz w:val="22"/>
              </w:rPr>
              <w:t>一、 银行销售的理财产品与存款存在明显区别，具有一定的风险。</w:t>
            </w:r>
            <w:r>
              <w:rPr>
                <w:rFonts w:ascii="仿宋" w:eastAsia="仿宋" w:hAnsi="仿宋" w:hint="eastAsia"/>
                <w:b/>
                <w:bCs/>
                <w:color w:val="000000"/>
                <w:sz w:val="22"/>
              </w:rPr>
              <w:br/>
              <w:t>二、 本产品向有投资经验及无投资经验客户均可销售。</w:t>
            </w:r>
            <w:r>
              <w:rPr>
                <w:rFonts w:ascii="仿宋" w:eastAsia="仿宋" w:hAnsi="仿宋" w:hint="eastAsia"/>
                <w:b/>
                <w:bCs/>
                <w:color w:val="000000"/>
                <w:sz w:val="22"/>
              </w:rPr>
              <w:br/>
              <w:t>三、 本理财产品为保本浮动收益型产品。平安银行对本理财产品的收益不提供保证承诺．根据银监会《商业银行个人理财业务风险管理指引》要求，特别提示：“本理财计划有投资风险，您只能获得合同明确承诺的收益，您应充分认识投资风险，谨慎投资。”</w:t>
            </w:r>
            <w:r>
              <w:rPr>
                <w:rFonts w:ascii="仿宋" w:eastAsia="仿宋" w:hAnsi="仿宋" w:hint="eastAsia"/>
                <w:b/>
                <w:bCs/>
                <w:color w:val="000000"/>
                <w:sz w:val="22"/>
              </w:rPr>
              <w:br/>
              <w:t>四、 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仿宋" w:eastAsia="仿宋" w:hAnsi="仿宋" w:hint="eastAsia"/>
                <w:b/>
                <w:bCs/>
                <w:color w:val="000000"/>
                <w:sz w:val="22"/>
              </w:rPr>
              <w:br/>
              <w:t>五、 在购买理财产品后，投资者应随时关注该理财产品的信息披露情况，及时获取相关信息。</w:t>
            </w:r>
          </w:p>
        </w:tc>
      </w:tr>
      <w:tr w:rsidR="00052FD0" w:rsidTr="00052FD0">
        <w:trPr>
          <w:trHeight w:val="285"/>
        </w:trPr>
        <w:tc>
          <w:tcPr>
            <w:tcW w:w="0" w:type="auto"/>
            <w:tcBorders>
              <w:top w:val="nil"/>
              <w:left w:val="nil"/>
              <w:bottom w:val="nil"/>
              <w:right w:val="nil"/>
            </w:tcBorders>
            <w:shd w:val="clear" w:color="auto" w:fill="auto"/>
            <w:noWrap/>
            <w:vAlign w:val="center"/>
            <w:hideMark/>
          </w:tcPr>
          <w:p w:rsidR="00052FD0" w:rsidRDefault="00052FD0">
            <w:pPr>
              <w:rPr>
                <w:rFonts w:ascii="宋体" w:eastAsia="宋体" w:hAnsi="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052FD0" w:rsidRDefault="00052FD0">
            <w:pPr>
              <w:rPr>
                <w:b/>
                <w:bCs/>
                <w:color w:val="000000"/>
              </w:rPr>
            </w:pPr>
          </w:p>
        </w:tc>
        <w:tc>
          <w:tcPr>
            <w:tcW w:w="0" w:type="auto"/>
            <w:tcBorders>
              <w:top w:val="nil"/>
              <w:left w:val="nil"/>
              <w:bottom w:val="nil"/>
              <w:right w:val="nil"/>
            </w:tcBorders>
            <w:shd w:val="clear" w:color="auto" w:fill="auto"/>
            <w:noWrap/>
            <w:vAlign w:val="center"/>
            <w:hideMark/>
          </w:tcPr>
          <w:p w:rsidR="00052FD0" w:rsidRDefault="00052FD0">
            <w:pPr>
              <w:rPr>
                <w:rFonts w:ascii="Times New Roman" w:eastAsia="Times New Roman" w:hAnsi="Times New Roman" w:cs="Times New Roman"/>
                <w:sz w:val="20"/>
                <w:szCs w:val="20"/>
              </w:rPr>
            </w:pPr>
          </w:p>
        </w:tc>
      </w:tr>
      <w:tr w:rsidR="00052FD0" w:rsidTr="00052FD0">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FD0" w:rsidRDefault="00052FD0">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169</w:t>
            </w:r>
            <w:r>
              <w:rPr>
                <w:rFonts w:hint="eastAsia"/>
                <w:b/>
                <w:bCs/>
                <w:color w:val="000000"/>
                <w:sz w:val="22"/>
              </w:rPr>
              <w:t>期人民币理财产品</w:t>
            </w:r>
          </w:p>
        </w:tc>
      </w:tr>
      <w:tr w:rsidR="00052FD0" w:rsidTr="00052F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“一级”低风险</w:t>
            </w:r>
          </w:p>
        </w:tc>
      </w:tr>
      <w:tr w:rsidR="00052FD0" w:rsidTr="00052F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052FD0" w:rsidTr="00052FD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052FD0" w:rsidTr="00052F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人民币</w:t>
            </w:r>
          </w:p>
        </w:tc>
      </w:tr>
      <w:tr w:rsidR="00052FD0" w:rsidTr="00052F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保本浮动收益型产品</w:t>
            </w:r>
          </w:p>
        </w:tc>
      </w:tr>
      <w:tr w:rsidR="00052FD0" w:rsidTr="00052F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10</w:t>
            </w:r>
            <w:r>
              <w:rPr>
                <w:rFonts w:hint="eastAsia"/>
                <w:color w:val="000000"/>
                <w:sz w:val="22"/>
              </w:rPr>
              <w:t>亿元，平安银行有权按照实际情况进行调整。</w:t>
            </w:r>
          </w:p>
        </w:tc>
      </w:tr>
      <w:tr w:rsidR="00052FD0" w:rsidTr="00052F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052FD0" w:rsidTr="00052F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052FD0" w:rsidTr="00052FD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29</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052FD0" w:rsidTr="00052F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产品成立日当天</w:t>
            </w:r>
          </w:p>
        </w:tc>
      </w:tr>
      <w:tr w:rsidR="00052FD0" w:rsidTr="00052FD0">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052FD0" w:rsidTr="00052FD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052FD0" w:rsidTr="00052FD0">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052FD0" w:rsidTr="00052F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2015</w:t>
            </w:r>
            <w:r>
              <w:rPr>
                <w:rFonts w:hint="eastAsia"/>
                <w:color w:val="000000"/>
                <w:sz w:val="22"/>
              </w:rPr>
              <w:t>年</w:t>
            </w:r>
            <w:r>
              <w:rPr>
                <w:rFonts w:hint="eastAsia"/>
                <w:color w:val="000000"/>
                <w:sz w:val="22"/>
              </w:rPr>
              <w:t>2</w:t>
            </w:r>
            <w:r>
              <w:rPr>
                <w:rFonts w:hint="eastAsia"/>
                <w:color w:val="000000"/>
                <w:sz w:val="22"/>
              </w:rPr>
              <w:t>月</w:t>
            </w:r>
            <w:r>
              <w:rPr>
                <w:rFonts w:hint="eastAsia"/>
                <w:color w:val="000000"/>
                <w:sz w:val="22"/>
              </w:rPr>
              <w:t>2</w:t>
            </w:r>
            <w:r>
              <w:rPr>
                <w:rFonts w:hint="eastAsia"/>
                <w:color w:val="000000"/>
                <w:sz w:val="22"/>
              </w:rPr>
              <w:t>日</w:t>
            </w:r>
          </w:p>
        </w:tc>
      </w:tr>
      <w:tr w:rsidR="00052FD0" w:rsidTr="00052FD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052FD0" w:rsidTr="00052F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平安银行股份有限公司</w:t>
            </w:r>
          </w:p>
        </w:tc>
      </w:tr>
      <w:tr w:rsidR="00052FD0" w:rsidTr="00052FD0">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根据当期可投资资产收益率，扣除产品的成本，本期产品预期最高年化收益率为</w:t>
            </w:r>
            <w:r w:rsidR="00591A81">
              <w:rPr>
                <w:rFonts w:hint="eastAsia"/>
                <w:color w:val="000000"/>
                <w:sz w:val="22"/>
              </w:rPr>
              <w:t>3.40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052FD0" w:rsidTr="00052FD0">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052FD0" w:rsidTr="00052FD0">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052FD0" w:rsidTr="00052F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国家法定工作日</w:t>
            </w:r>
          </w:p>
        </w:tc>
      </w:tr>
      <w:tr w:rsidR="00052FD0" w:rsidTr="00052FD0">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052FD0" w:rsidTr="00052F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理财收益的应纳税款由投资者自行申报及缴纳</w:t>
            </w:r>
          </w:p>
        </w:tc>
      </w:tr>
      <w:tr w:rsidR="00052FD0" w:rsidTr="00052FD0">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2FD0" w:rsidRDefault="00052FD0">
            <w:pPr>
              <w:rPr>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2FD0" w:rsidRDefault="00052FD0">
            <w:pPr>
              <w:rPr>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052FD0" w:rsidTr="00052FD0">
        <w:trPr>
          <w:trHeight w:val="285"/>
        </w:trPr>
        <w:tc>
          <w:tcPr>
            <w:tcW w:w="0" w:type="auto"/>
            <w:tcBorders>
              <w:top w:val="nil"/>
              <w:left w:val="nil"/>
              <w:bottom w:val="nil"/>
              <w:right w:val="nil"/>
            </w:tcBorders>
            <w:shd w:val="clear" w:color="auto" w:fill="auto"/>
            <w:noWrap/>
            <w:vAlign w:val="center"/>
            <w:hideMark/>
          </w:tcPr>
          <w:p w:rsidR="00052FD0" w:rsidRDefault="00052FD0">
            <w:pPr>
              <w:rPr>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052FD0" w:rsidRDefault="00052FD0">
            <w:pPr>
              <w:rPr>
                <w:b/>
                <w:bCs/>
                <w:color w:val="000000"/>
              </w:rPr>
            </w:pPr>
          </w:p>
        </w:tc>
        <w:tc>
          <w:tcPr>
            <w:tcW w:w="0" w:type="auto"/>
            <w:tcBorders>
              <w:top w:val="nil"/>
              <w:left w:val="nil"/>
              <w:bottom w:val="nil"/>
              <w:right w:val="nil"/>
            </w:tcBorders>
            <w:shd w:val="clear" w:color="auto" w:fill="auto"/>
            <w:noWrap/>
            <w:vAlign w:val="center"/>
            <w:hideMark/>
          </w:tcPr>
          <w:p w:rsidR="00052FD0" w:rsidRDefault="00052FD0">
            <w:pPr>
              <w:rPr>
                <w:rFonts w:ascii="Times New Roman" w:eastAsia="Times New Roman" w:hAnsi="Times New Roman" w:cs="Times New Roman"/>
                <w:sz w:val="20"/>
                <w:szCs w:val="20"/>
              </w:rPr>
            </w:pPr>
          </w:p>
        </w:tc>
      </w:tr>
      <w:tr w:rsidR="00052FD0" w:rsidTr="00052FD0">
        <w:trPr>
          <w:trHeight w:val="945"/>
        </w:trPr>
        <w:tc>
          <w:tcPr>
            <w:tcW w:w="8240" w:type="dxa"/>
            <w:gridSpan w:val="3"/>
            <w:tcBorders>
              <w:top w:val="nil"/>
              <w:left w:val="nil"/>
              <w:bottom w:val="nil"/>
              <w:right w:val="nil"/>
            </w:tcBorders>
            <w:shd w:val="clear" w:color="auto" w:fill="auto"/>
            <w:vAlign w:val="center"/>
            <w:hideMark/>
          </w:tcPr>
          <w:p w:rsidR="00052FD0" w:rsidRDefault="00052FD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052FD0" w:rsidTr="00052FD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FD0" w:rsidRDefault="00052FD0">
            <w:pPr>
              <w:jc w:val="center"/>
              <w:rPr>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052FD0" w:rsidRDefault="00052FD0">
            <w:pPr>
              <w:jc w:val="center"/>
              <w:rPr>
                <w:color w:val="000000"/>
                <w:szCs w:val="21"/>
              </w:rPr>
            </w:pPr>
            <w:r>
              <w:rPr>
                <w:rFonts w:hint="eastAsia"/>
                <w:color w:val="000000"/>
                <w:szCs w:val="21"/>
              </w:rPr>
              <w:t>投资比例</w:t>
            </w:r>
          </w:p>
        </w:tc>
      </w:tr>
      <w:tr w:rsidR="00052FD0" w:rsidTr="00052FD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FD0" w:rsidRDefault="00052FD0">
            <w:pPr>
              <w:jc w:val="center"/>
              <w:rPr>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052FD0" w:rsidRDefault="00052FD0">
            <w:pPr>
              <w:jc w:val="center"/>
              <w:rPr>
                <w:color w:val="000000"/>
                <w:szCs w:val="21"/>
              </w:rPr>
            </w:pPr>
            <w:r>
              <w:rPr>
                <w:rFonts w:hint="eastAsia"/>
                <w:color w:val="000000"/>
                <w:szCs w:val="21"/>
              </w:rPr>
              <w:t>0-20%</w:t>
            </w:r>
          </w:p>
        </w:tc>
      </w:tr>
      <w:tr w:rsidR="00052FD0" w:rsidTr="00052FD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FD0" w:rsidRDefault="00052FD0">
            <w:pPr>
              <w:jc w:val="center"/>
              <w:rPr>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052FD0" w:rsidRDefault="00052FD0">
            <w:pPr>
              <w:jc w:val="center"/>
              <w:rPr>
                <w:color w:val="000000"/>
                <w:szCs w:val="21"/>
              </w:rPr>
            </w:pPr>
            <w:r>
              <w:rPr>
                <w:rFonts w:hint="eastAsia"/>
                <w:color w:val="000000"/>
                <w:szCs w:val="21"/>
              </w:rPr>
              <w:t>10-100%</w:t>
            </w:r>
          </w:p>
        </w:tc>
      </w:tr>
      <w:tr w:rsidR="00052FD0" w:rsidTr="00052FD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FD0" w:rsidRDefault="00052FD0">
            <w:pPr>
              <w:jc w:val="center"/>
              <w:rPr>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052FD0" w:rsidRDefault="00052FD0">
            <w:pPr>
              <w:jc w:val="center"/>
              <w:rPr>
                <w:color w:val="000000"/>
                <w:szCs w:val="21"/>
              </w:rPr>
            </w:pPr>
            <w:r>
              <w:rPr>
                <w:rFonts w:hint="eastAsia"/>
                <w:color w:val="000000"/>
                <w:szCs w:val="21"/>
              </w:rPr>
              <w:t>0-90%</w:t>
            </w:r>
          </w:p>
        </w:tc>
      </w:tr>
      <w:tr w:rsidR="00052FD0" w:rsidTr="00052FD0">
        <w:trPr>
          <w:trHeight w:val="1125"/>
        </w:trPr>
        <w:tc>
          <w:tcPr>
            <w:tcW w:w="8240" w:type="dxa"/>
            <w:gridSpan w:val="3"/>
            <w:tcBorders>
              <w:top w:val="nil"/>
              <w:left w:val="nil"/>
              <w:bottom w:val="nil"/>
              <w:right w:val="nil"/>
            </w:tcBorders>
            <w:shd w:val="clear" w:color="auto" w:fill="auto"/>
            <w:vAlign w:val="center"/>
            <w:hideMark/>
          </w:tcPr>
          <w:p w:rsidR="00052FD0" w:rsidRDefault="00052FD0">
            <w:pPr>
              <w:jc w:val="left"/>
              <w:rPr>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052FD0" w:rsidTr="00052FD0">
        <w:trPr>
          <w:trHeight w:val="285"/>
        </w:trPr>
        <w:tc>
          <w:tcPr>
            <w:tcW w:w="0" w:type="auto"/>
            <w:gridSpan w:val="3"/>
            <w:tcBorders>
              <w:top w:val="nil"/>
              <w:left w:val="nil"/>
              <w:bottom w:val="nil"/>
              <w:right w:val="nil"/>
            </w:tcBorders>
            <w:shd w:val="clear" w:color="auto" w:fill="auto"/>
            <w:noWrap/>
            <w:vAlign w:val="center"/>
            <w:hideMark/>
          </w:tcPr>
          <w:p w:rsidR="00052FD0" w:rsidRDefault="00052FD0">
            <w:pPr>
              <w:rPr>
                <w:b/>
                <w:bCs/>
                <w:color w:val="000000"/>
                <w:sz w:val="24"/>
                <w:szCs w:val="24"/>
              </w:rPr>
            </w:pPr>
            <w:r>
              <w:rPr>
                <w:rFonts w:hint="eastAsia"/>
                <w:b/>
                <w:bCs/>
                <w:color w:val="000000"/>
              </w:rPr>
              <w:t>三、理财产品费用、收益分析与计算</w:t>
            </w:r>
          </w:p>
        </w:tc>
      </w:tr>
      <w:tr w:rsidR="00052FD0" w:rsidTr="00052FD0">
        <w:trPr>
          <w:trHeight w:val="270"/>
        </w:trPr>
        <w:tc>
          <w:tcPr>
            <w:tcW w:w="0" w:type="auto"/>
            <w:gridSpan w:val="3"/>
            <w:tcBorders>
              <w:top w:val="nil"/>
              <w:left w:val="nil"/>
              <w:bottom w:val="nil"/>
              <w:right w:val="nil"/>
            </w:tcBorders>
            <w:shd w:val="clear" w:color="auto" w:fill="auto"/>
            <w:noWrap/>
            <w:vAlign w:val="center"/>
            <w:hideMark/>
          </w:tcPr>
          <w:p w:rsidR="00052FD0" w:rsidRDefault="00052FD0">
            <w:pPr>
              <w:rPr>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052FD0" w:rsidTr="00052FD0">
        <w:trPr>
          <w:trHeight w:val="2955"/>
        </w:trPr>
        <w:tc>
          <w:tcPr>
            <w:tcW w:w="8240" w:type="dxa"/>
            <w:gridSpan w:val="3"/>
            <w:tcBorders>
              <w:top w:val="nil"/>
              <w:left w:val="nil"/>
              <w:bottom w:val="nil"/>
              <w:right w:val="nil"/>
            </w:tcBorders>
            <w:shd w:val="clear" w:color="auto" w:fill="auto"/>
            <w:vAlign w:val="center"/>
            <w:hideMark/>
          </w:tcPr>
          <w:p w:rsidR="00052FD0" w:rsidRDefault="00052FD0">
            <w:pPr>
              <w:rPr>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052FD0" w:rsidTr="00052FD0">
        <w:trPr>
          <w:trHeight w:val="270"/>
        </w:trPr>
        <w:tc>
          <w:tcPr>
            <w:tcW w:w="0" w:type="auto"/>
            <w:gridSpan w:val="3"/>
            <w:tcBorders>
              <w:top w:val="nil"/>
              <w:left w:val="nil"/>
              <w:bottom w:val="nil"/>
              <w:right w:val="nil"/>
            </w:tcBorders>
            <w:shd w:val="clear" w:color="auto" w:fill="auto"/>
            <w:noWrap/>
            <w:vAlign w:val="center"/>
            <w:hideMark/>
          </w:tcPr>
          <w:p w:rsidR="00052FD0" w:rsidRDefault="00052FD0">
            <w:pPr>
              <w:rPr>
                <w:b/>
                <w:bCs/>
                <w:color w:val="000000"/>
                <w:szCs w:val="21"/>
              </w:rPr>
            </w:pPr>
            <w:r>
              <w:rPr>
                <w:rFonts w:hint="eastAsia"/>
                <w:b/>
                <w:bCs/>
                <w:color w:val="000000"/>
                <w:szCs w:val="21"/>
              </w:rPr>
              <w:t xml:space="preserve">    2</w:t>
            </w:r>
            <w:r>
              <w:rPr>
                <w:rFonts w:hint="eastAsia"/>
                <w:b/>
                <w:bCs/>
                <w:color w:val="000000"/>
                <w:szCs w:val="21"/>
              </w:rPr>
              <w:t>、客户预期最高年化收益率：</w:t>
            </w:r>
            <w:r w:rsidR="00591A81">
              <w:rPr>
                <w:rFonts w:hint="eastAsia"/>
                <w:b/>
                <w:bCs/>
                <w:color w:val="000000"/>
                <w:szCs w:val="21"/>
              </w:rPr>
              <w:t>3.40</w:t>
            </w:r>
            <w:r>
              <w:rPr>
                <w:rFonts w:hint="eastAsia"/>
                <w:b/>
                <w:bCs/>
                <w:color w:val="000000"/>
                <w:szCs w:val="21"/>
              </w:rPr>
              <w:t>%</w:t>
            </w:r>
          </w:p>
        </w:tc>
      </w:tr>
      <w:tr w:rsidR="00052FD0" w:rsidTr="00052FD0">
        <w:trPr>
          <w:trHeight w:val="555"/>
        </w:trPr>
        <w:tc>
          <w:tcPr>
            <w:tcW w:w="8240" w:type="dxa"/>
            <w:gridSpan w:val="3"/>
            <w:tcBorders>
              <w:top w:val="nil"/>
              <w:left w:val="nil"/>
              <w:bottom w:val="nil"/>
              <w:right w:val="nil"/>
            </w:tcBorders>
            <w:shd w:val="clear" w:color="auto" w:fill="auto"/>
            <w:vAlign w:val="center"/>
            <w:hideMark/>
          </w:tcPr>
          <w:p w:rsidR="00052FD0" w:rsidRDefault="00052FD0">
            <w:pPr>
              <w:rPr>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052FD0" w:rsidTr="00052FD0">
        <w:trPr>
          <w:trHeight w:val="270"/>
        </w:trPr>
        <w:tc>
          <w:tcPr>
            <w:tcW w:w="0" w:type="auto"/>
            <w:gridSpan w:val="2"/>
            <w:tcBorders>
              <w:top w:val="nil"/>
              <w:left w:val="nil"/>
              <w:bottom w:val="nil"/>
              <w:right w:val="nil"/>
            </w:tcBorders>
            <w:shd w:val="clear" w:color="auto" w:fill="auto"/>
            <w:noWrap/>
            <w:vAlign w:val="center"/>
            <w:hideMark/>
          </w:tcPr>
          <w:p w:rsidR="00052FD0" w:rsidRDefault="00052FD0">
            <w:pPr>
              <w:rPr>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052FD0" w:rsidRDefault="00052FD0">
            <w:pPr>
              <w:rPr>
                <w:b/>
                <w:bCs/>
                <w:color w:val="000000"/>
                <w:szCs w:val="21"/>
              </w:rPr>
            </w:pPr>
          </w:p>
        </w:tc>
      </w:tr>
      <w:tr w:rsidR="00052FD0" w:rsidTr="00052FD0">
        <w:trPr>
          <w:trHeight w:val="555"/>
        </w:trPr>
        <w:tc>
          <w:tcPr>
            <w:tcW w:w="8240" w:type="dxa"/>
            <w:gridSpan w:val="3"/>
            <w:tcBorders>
              <w:top w:val="nil"/>
              <w:left w:val="nil"/>
              <w:bottom w:val="nil"/>
              <w:right w:val="nil"/>
            </w:tcBorders>
            <w:shd w:val="clear" w:color="auto" w:fill="auto"/>
            <w:vAlign w:val="center"/>
            <w:hideMark/>
          </w:tcPr>
          <w:p w:rsidR="00052FD0" w:rsidRDefault="00052FD0">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052FD0" w:rsidTr="00052FD0">
        <w:trPr>
          <w:trHeight w:val="270"/>
        </w:trPr>
        <w:tc>
          <w:tcPr>
            <w:tcW w:w="0" w:type="auto"/>
            <w:gridSpan w:val="2"/>
            <w:tcBorders>
              <w:top w:val="nil"/>
              <w:left w:val="nil"/>
              <w:bottom w:val="nil"/>
              <w:right w:val="nil"/>
            </w:tcBorders>
            <w:shd w:val="clear" w:color="auto" w:fill="auto"/>
            <w:noWrap/>
            <w:vAlign w:val="center"/>
            <w:hideMark/>
          </w:tcPr>
          <w:p w:rsidR="00052FD0" w:rsidRDefault="00052FD0">
            <w:pPr>
              <w:rPr>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052FD0" w:rsidRDefault="00052FD0">
            <w:pPr>
              <w:rPr>
                <w:b/>
                <w:bCs/>
                <w:color w:val="000000"/>
                <w:szCs w:val="21"/>
              </w:rPr>
            </w:pPr>
          </w:p>
        </w:tc>
      </w:tr>
      <w:tr w:rsidR="00052FD0" w:rsidTr="00052FD0">
        <w:trPr>
          <w:trHeight w:val="1080"/>
        </w:trPr>
        <w:tc>
          <w:tcPr>
            <w:tcW w:w="8240" w:type="dxa"/>
            <w:gridSpan w:val="3"/>
            <w:tcBorders>
              <w:top w:val="nil"/>
              <w:left w:val="nil"/>
              <w:bottom w:val="nil"/>
              <w:right w:val="nil"/>
            </w:tcBorders>
            <w:shd w:val="clear" w:color="auto" w:fill="auto"/>
            <w:vAlign w:val="center"/>
            <w:hideMark/>
          </w:tcPr>
          <w:p w:rsidR="00052FD0" w:rsidRDefault="00052FD0">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591A81">
              <w:rPr>
                <w:rFonts w:hint="eastAsia"/>
                <w:color w:val="000000"/>
                <w:sz w:val="22"/>
              </w:rPr>
              <w:t>3.40</w:t>
            </w:r>
            <w:r>
              <w:rPr>
                <w:rFonts w:hint="eastAsia"/>
                <w:color w:val="000000"/>
                <w:sz w:val="22"/>
              </w:rPr>
              <w:t>%</w:t>
            </w:r>
          </w:p>
        </w:tc>
      </w:tr>
      <w:tr w:rsidR="00052FD0" w:rsidTr="00052FD0">
        <w:trPr>
          <w:trHeight w:val="270"/>
        </w:trPr>
        <w:tc>
          <w:tcPr>
            <w:tcW w:w="0" w:type="auto"/>
            <w:gridSpan w:val="3"/>
            <w:tcBorders>
              <w:top w:val="nil"/>
              <w:left w:val="nil"/>
              <w:bottom w:val="nil"/>
              <w:right w:val="nil"/>
            </w:tcBorders>
            <w:shd w:val="clear" w:color="auto" w:fill="auto"/>
            <w:noWrap/>
            <w:vAlign w:val="center"/>
            <w:hideMark/>
          </w:tcPr>
          <w:p w:rsidR="00052FD0" w:rsidRDefault="00052FD0">
            <w:pPr>
              <w:rPr>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052FD0" w:rsidTr="00052FD0">
        <w:trPr>
          <w:trHeight w:val="270"/>
        </w:trPr>
        <w:tc>
          <w:tcPr>
            <w:tcW w:w="0" w:type="auto"/>
            <w:tcBorders>
              <w:top w:val="nil"/>
              <w:left w:val="nil"/>
              <w:bottom w:val="nil"/>
              <w:right w:val="nil"/>
            </w:tcBorders>
            <w:shd w:val="clear" w:color="auto" w:fill="auto"/>
            <w:noWrap/>
            <w:vAlign w:val="center"/>
            <w:hideMark/>
          </w:tcPr>
          <w:p w:rsidR="00052FD0" w:rsidRDefault="00052FD0">
            <w:pPr>
              <w:rPr>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052FD0" w:rsidRDefault="00052FD0">
            <w:pPr>
              <w:rPr>
                <w:b/>
                <w:bCs/>
                <w:color w:val="000000"/>
                <w:szCs w:val="21"/>
              </w:rPr>
            </w:pPr>
          </w:p>
        </w:tc>
        <w:tc>
          <w:tcPr>
            <w:tcW w:w="0" w:type="auto"/>
            <w:tcBorders>
              <w:top w:val="nil"/>
              <w:left w:val="nil"/>
              <w:bottom w:val="nil"/>
              <w:right w:val="nil"/>
            </w:tcBorders>
            <w:shd w:val="clear" w:color="auto" w:fill="auto"/>
            <w:noWrap/>
            <w:vAlign w:val="center"/>
            <w:hideMark/>
          </w:tcPr>
          <w:p w:rsidR="00052FD0" w:rsidRDefault="00052FD0">
            <w:pPr>
              <w:rPr>
                <w:rFonts w:ascii="Times New Roman" w:eastAsia="Times New Roman" w:hAnsi="Times New Roman" w:cs="Times New Roman"/>
                <w:sz w:val="20"/>
                <w:szCs w:val="20"/>
              </w:rPr>
            </w:pPr>
          </w:p>
        </w:tc>
      </w:tr>
      <w:tr w:rsidR="00052FD0" w:rsidTr="00052FD0">
        <w:trPr>
          <w:trHeight w:val="270"/>
        </w:trPr>
        <w:tc>
          <w:tcPr>
            <w:tcW w:w="8240" w:type="dxa"/>
            <w:gridSpan w:val="3"/>
            <w:tcBorders>
              <w:top w:val="nil"/>
              <w:left w:val="nil"/>
              <w:bottom w:val="nil"/>
              <w:right w:val="nil"/>
            </w:tcBorders>
            <w:shd w:val="clear" w:color="auto" w:fill="auto"/>
            <w:vAlign w:val="center"/>
            <w:hideMark/>
          </w:tcPr>
          <w:p w:rsidR="00052FD0" w:rsidRDefault="00052FD0">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052FD0" w:rsidTr="00052FD0">
        <w:trPr>
          <w:trHeight w:val="1125"/>
        </w:trPr>
        <w:tc>
          <w:tcPr>
            <w:tcW w:w="8240" w:type="dxa"/>
            <w:gridSpan w:val="3"/>
            <w:tcBorders>
              <w:top w:val="nil"/>
              <w:left w:val="nil"/>
              <w:bottom w:val="nil"/>
              <w:right w:val="nil"/>
            </w:tcBorders>
            <w:shd w:val="clear" w:color="auto" w:fill="auto"/>
            <w:vAlign w:val="center"/>
            <w:hideMark/>
          </w:tcPr>
          <w:p w:rsidR="00052FD0" w:rsidRDefault="00052FD0" w:rsidP="00591A81">
            <w:pPr>
              <w:rPr>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591A81">
              <w:rPr>
                <w:rFonts w:hint="eastAsia"/>
                <w:color w:val="000000"/>
                <w:sz w:val="22"/>
              </w:rPr>
              <w:t>3.40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591A81">
              <w:rPr>
                <w:rFonts w:hint="eastAsia"/>
                <w:color w:val="000000"/>
                <w:sz w:val="22"/>
              </w:rPr>
              <w:t>3.40</w:t>
            </w:r>
            <w:r>
              <w:rPr>
                <w:rFonts w:hint="eastAsia"/>
                <w:color w:val="000000"/>
                <w:sz w:val="22"/>
              </w:rPr>
              <w:t>%</w:t>
            </w:r>
            <w:r>
              <w:rPr>
                <w:rFonts w:hint="eastAsia"/>
                <w:color w:val="000000"/>
                <w:sz w:val="22"/>
              </w:rPr>
              <w:t>×</w:t>
            </w:r>
            <w:r>
              <w:rPr>
                <w:rFonts w:hint="eastAsia"/>
                <w:color w:val="000000"/>
                <w:sz w:val="22"/>
              </w:rPr>
              <w:t>3/365 =</w:t>
            </w:r>
            <w:r w:rsidR="00591A81">
              <w:rPr>
                <w:rFonts w:hint="eastAsia"/>
                <w:color w:val="000000"/>
                <w:sz w:val="22"/>
              </w:rPr>
              <w:t>27</w:t>
            </w:r>
            <w:r>
              <w:rPr>
                <w:rFonts w:hint="eastAsia"/>
                <w:color w:val="000000"/>
                <w:sz w:val="22"/>
              </w:rPr>
              <w:t>.</w:t>
            </w:r>
            <w:r w:rsidR="00591A81">
              <w:rPr>
                <w:rFonts w:hint="eastAsia"/>
                <w:color w:val="000000"/>
                <w:sz w:val="22"/>
              </w:rPr>
              <w:t>95</w:t>
            </w:r>
            <w:r>
              <w:rPr>
                <w:rFonts w:hint="eastAsia"/>
                <w:color w:val="000000"/>
                <w:sz w:val="22"/>
              </w:rPr>
              <w:t>元。</w:t>
            </w:r>
          </w:p>
        </w:tc>
      </w:tr>
      <w:tr w:rsidR="00052FD0" w:rsidTr="00052FD0">
        <w:trPr>
          <w:trHeight w:val="270"/>
        </w:trPr>
        <w:tc>
          <w:tcPr>
            <w:tcW w:w="0" w:type="auto"/>
            <w:gridSpan w:val="3"/>
            <w:tcBorders>
              <w:top w:val="nil"/>
              <w:left w:val="nil"/>
              <w:bottom w:val="nil"/>
              <w:right w:val="nil"/>
            </w:tcBorders>
            <w:shd w:val="clear" w:color="auto" w:fill="auto"/>
            <w:noWrap/>
            <w:vAlign w:val="center"/>
            <w:hideMark/>
          </w:tcPr>
          <w:p w:rsidR="00052FD0" w:rsidRDefault="00052FD0">
            <w:pPr>
              <w:rPr>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052FD0" w:rsidTr="00052FD0">
        <w:trPr>
          <w:trHeight w:val="270"/>
        </w:trPr>
        <w:tc>
          <w:tcPr>
            <w:tcW w:w="0" w:type="auto"/>
            <w:tcBorders>
              <w:top w:val="nil"/>
              <w:left w:val="nil"/>
              <w:bottom w:val="nil"/>
              <w:right w:val="nil"/>
            </w:tcBorders>
            <w:shd w:val="clear" w:color="auto" w:fill="auto"/>
            <w:noWrap/>
            <w:vAlign w:val="center"/>
            <w:hideMark/>
          </w:tcPr>
          <w:p w:rsidR="00052FD0" w:rsidRDefault="00052FD0">
            <w:pPr>
              <w:jc w:val="center"/>
              <w:rPr>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052FD0" w:rsidRDefault="00052FD0">
            <w:pPr>
              <w:jc w:val="center"/>
              <w:rPr>
                <w:b/>
                <w:bCs/>
                <w:color w:val="000000"/>
                <w:szCs w:val="21"/>
              </w:rPr>
            </w:pPr>
          </w:p>
        </w:tc>
        <w:tc>
          <w:tcPr>
            <w:tcW w:w="0" w:type="auto"/>
            <w:tcBorders>
              <w:top w:val="nil"/>
              <w:left w:val="nil"/>
              <w:bottom w:val="nil"/>
              <w:right w:val="nil"/>
            </w:tcBorders>
            <w:shd w:val="clear" w:color="auto" w:fill="auto"/>
            <w:noWrap/>
            <w:vAlign w:val="center"/>
            <w:hideMark/>
          </w:tcPr>
          <w:p w:rsidR="00052FD0" w:rsidRDefault="00052FD0">
            <w:pPr>
              <w:rPr>
                <w:rFonts w:ascii="Times New Roman" w:eastAsia="Times New Roman" w:hAnsi="Times New Roman" w:cs="Times New Roman"/>
                <w:sz w:val="20"/>
                <w:szCs w:val="20"/>
              </w:rPr>
            </w:pPr>
          </w:p>
        </w:tc>
      </w:tr>
      <w:tr w:rsidR="00052FD0" w:rsidTr="00052FD0">
        <w:trPr>
          <w:trHeight w:val="2910"/>
        </w:trPr>
        <w:tc>
          <w:tcPr>
            <w:tcW w:w="8240" w:type="dxa"/>
            <w:gridSpan w:val="3"/>
            <w:tcBorders>
              <w:top w:val="nil"/>
              <w:left w:val="nil"/>
              <w:bottom w:val="nil"/>
              <w:right w:val="nil"/>
            </w:tcBorders>
            <w:shd w:val="clear" w:color="auto" w:fill="auto"/>
            <w:vAlign w:val="center"/>
            <w:hideMark/>
          </w:tcPr>
          <w:p w:rsidR="00052FD0" w:rsidRDefault="00052FD0">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052FD0" w:rsidTr="00052FD0">
        <w:trPr>
          <w:trHeight w:val="270"/>
        </w:trPr>
        <w:tc>
          <w:tcPr>
            <w:tcW w:w="0" w:type="auto"/>
            <w:tcBorders>
              <w:top w:val="nil"/>
              <w:left w:val="nil"/>
              <w:bottom w:val="nil"/>
              <w:right w:val="nil"/>
            </w:tcBorders>
            <w:shd w:val="clear" w:color="auto" w:fill="auto"/>
            <w:noWrap/>
            <w:vAlign w:val="center"/>
            <w:hideMark/>
          </w:tcPr>
          <w:p w:rsidR="00052FD0" w:rsidRDefault="00052FD0">
            <w:pPr>
              <w:jc w:val="center"/>
              <w:rPr>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052FD0" w:rsidRDefault="00052FD0">
            <w:pPr>
              <w:jc w:val="center"/>
              <w:rPr>
                <w:b/>
                <w:bCs/>
                <w:color w:val="000000"/>
                <w:szCs w:val="21"/>
              </w:rPr>
            </w:pPr>
          </w:p>
        </w:tc>
        <w:tc>
          <w:tcPr>
            <w:tcW w:w="0" w:type="auto"/>
            <w:tcBorders>
              <w:top w:val="nil"/>
              <w:left w:val="nil"/>
              <w:bottom w:val="nil"/>
              <w:right w:val="nil"/>
            </w:tcBorders>
            <w:shd w:val="clear" w:color="auto" w:fill="auto"/>
            <w:noWrap/>
            <w:vAlign w:val="center"/>
            <w:hideMark/>
          </w:tcPr>
          <w:p w:rsidR="00052FD0" w:rsidRDefault="00052FD0">
            <w:pPr>
              <w:rPr>
                <w:rFonts w:ascii="Times New Roman" w:eastAsia="Times New Roman" w:hAnsi="Times New Roman" w:cs="Times New Roman"/>
                <w:sz w:val="20"/>
                <w:szCs w:val="20"/>
              </w:rPr>
            </w:pPr>
          </w:p>
        </w:tc>
      </w:tr>
      <w:tr w:rsidR="00052FD0" w:rsidTr="00052FD0">
        <w:trPr>
          <w:trHeight w:val="3525"/>
        </w:trPr>
        <w:tc>
          <w:tcPr>
            <w:tcW w:w="8240" w:type="dxa"/>
            <w:gridSpan w:val="3"/>
            <w:tcBorders>
              <w:top w:val="nil"/>
              <w:left w:val="nil"/>
              <w:bottom w:val="nil"/>
              <w:right w:val="nil"/>
            </w:tcBorders>
            <w:shd w:val="clear" w:color="auto" w:fill="auto"/>
            <w:vAlign w:val="center"/>
            <w:hideMark/>
          </w:tcPr>
          <w:p w:rsidR="00052FD0" w:rsidRDefault="00052FD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052FD0" w:rsidTr="00052FD0">
        <w:trPr>
          <w:trHeight w:val="285"/>
        </w:trPr>
        <w:tc>
          <w:tcPr>
            <w:tcW w:w="0" w:type="auto"/>
            <w:tcBorders>
              <w:top w:val="nil"/>
              <w:left w:val="nil"/>
              <w:bottom w:val="nil"/>
              <w:right w:val="nil"/>
            </w:tcBorders>
            <w:shd w:val="clear" w:color="auto" w:fill="auto"/>
            <w:noWrap/>
            <w:vAlign w:val="center"/>
            <w:hideMark/>
          </w:tcPr>
          <w:p w:rsidR="00052FD0" w:rsidRDefault="00052FD0">
            <w:pPr>
              <w:rPr>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052FD0" w:rsidRDefault="00052FD0">
            <w:pPr>
              <w:rPr>
                <w:b/>
                <w:bCs/>
                <w:color w:val="000000"/>
              </w:rPr>
            </w:pPr>
          </w:p>
        </w:tc>
        <w:tc>
          <w:tcPr>
            <w:tcW w:w="0" w:type="auto"/>
            <w:tcBorders>
              <w:top w:val="nil"/>
              <w:left w:val="nil"/>
              <w:bottom w:val="nil"/>
              <w:right w:val="nil"/>
            </w:tcBorders>
            <w:shd w:val="clear" w:color="auto" w:fill="auto"/>
            <w:noWrap/>
            <w:vAlign w:val="center"/>
            <w:hideMark/>
          </w:tcPr>
          <w:p w:rsidR="00052FD0" w:rsidRDefault="00052FD0">
            <w:pPr>
              <w:rPr>
                <w:rFonts w:ascii="Times New Roman" w:eastAsia="Times New Roman" w:hAnsi="Times New Roman" w:cs="Times New Roman"/>
                <w:sz w:val="20"/>
                <w:szCs w:val="20"/>
              </w:rPr>
            </w:pPr>
          </w:p>
        </w:tc>
      </w:tr>
      <w:tr w:rsidR="00052FD0" w:rsidTr="00052FD0">
        <w:trPr>
          <w:trHeight w:val="1395"/>
        </w:trPr>
        <w:tc>
          <w:tcPr>
            <w:tcW w:w="8240" w:type="dxa"/>
            <w:gridSpan w:val="3"/>
            <w:tcBorders>
              <w:top w:val="nil"/>
              <w:left w:val="nil"/>
              <w:bottom w:val="nil"/>
              <w:right w:val="nil"/>
            </w:tcBorders>
            <w:shd w:val="clear" w:color="auto" w:fill="auto"/>
            <w:vAlign w:val="center"/>
            <w:hideMark/>
          </w:tcPr>
          <w:p w:rsidR="00052FD0" w:rsidRDefault="00052FD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169</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052FD0" w:rsidTr="00052FD0">
        <w:trPr>
          <w:trHeight w:val="285"/>
        </w:trPr>
        <w:tc>
          <w:tcPr>
            <w:tcW w:w="0" w:type="auto"/>
            <w:tcBorders>
              <w:top w:val="nil"/>
              <w:left w:val="nil"/>
              <w:bottom w:val="nil"/>
              <w:right w:val="nil"/>
            </w:tcBorders>
            <w:shd w:val="clear" w:color="auto" w:fill="auto"/>
            <w:noWrap/>
            <w:vAlign w:val="center"/>
            <w:hideMark/>
          </w:tcPr>
          <w:p w:rsidR="00052FD0" w:rsidRDefault="00052FD0">
            <w:pPr>
              <w:rPr>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052FD0" w:rsidRDefault="00052FD0">
            <w:pPr>
              <w:rPr>
                <w:b/>
                <w:bCs/>
                <w:color w:val="000000"/>
              </w:rPr>
            </w:pPr>
          </w:p>
        </w:tc>
        <w:tc>
          <w:tcPr>
            <w:tcW w:w="0" w:type="auto"/>
            <w:tcBorders>
              <w:top w:val="nil"/>
              <w:left w:val="nil"/>
              <w:bottom w:val="nil"/>
              <w:right w:val="nil"/>
            </w:tcBorders>
            <w:shd w:val="clear" w:color="auto" w:fill="auto"/>
            <w:noWrap/>
            <w:vAlign w:val="center"/>
            <w:hideMark/>
          </w:tcPr>
          <w:p w:rsidR="00052FD0" w:rsidRDefault="00052FD0">
            <w:pPr>
              <w:rPr>
                <w:rFonts w:ascii="Times New Roman" w:eastAsia="Times New Roman" w:hAnsi="Times New Roman" w:cs="Times New Roman"/>
                <w:sz w:val="20"/>
                <w:szCs w:val="20"/>
              </w:rPr>
            </w:pPr>
          </w:p>
        </w:tc>
      </w:tr>
      <w:tr w:rsidR="00052FD0" w:rsidTr="00052FD0">
        <w:trPr>
          <w:trHeight w:val="600"/>
        </w:trPr>
        <w:tc>
          <w:tcPr>
            <w:tcW w:w="8240" w:type="dxa"/>
            <w:gridSpan w:val="3"/>
            <w:tcBorders>
              <w:top w:val="nil"/>
              <w:left w:val="nil"/>
              <w:bottom w:val="nil"/>
              <w:right w:val="nil"/>
            </w:tcBorders>
            <w:shd w:val="clear" w:color="auto" w:fill="auto"/>
            <w:vAlign w:val="center"/>
            <w:hideMark/>
          </w:tcPr>
          <w:p w:rsidR="00052FD0" w:rsidRDefault="00052FD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052FD0" w:rsidTr="00052FD0">
        <w:trPr>
          <w:trHeight w:val="570"/>
        </w:trPr>
        <w:tc>
          <w:tcPr>
            <w:tcW w:w="8240" w:type="dxa"/>
            <w:gridSpan w:val="3"/>
            <w:tcBorders>
              <w:top w:val="nil"/>
              <w:left w:val="nil"/>
              <w:bottom w:val="nil"/>
              <w:right w:val="nil"/>
            </w:tcBorders>
            <w:shd w:val="clear" w:color="auto" w:fill="auto"/>
            <w:vAlign w:val="center"/>
            <w:hideMark/>
          </w:tcPr>
          <w:p w:rsidR="00052FD0" w:rsidRDefault="00052FD0">
            <w:pPr>
              <w:rPr>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052FD0" w:rsidTr="00052FD0">
        <w:trPr>
          <w:trHeight w:val="270"/>
        </w:trPr>
        <w:tc>
          <w:tcPr>
            <w:tcW w:w="0" w:type="auto"/>
            <w:gridSpan w:val="2"/>
            <w:tcBorders>
              <w:top w:val="nil"/>
              <w:left w:val="nil"/>
              <w:bottom w:val="nil"/>
              <w:right w:val="nil"/>
            </w:tcBorders>
            <w:shd w:val="clear" w:color="auto" w:fill="auto"/>
            <w:noWrap/>
            <w:vAlign w:val="center"/>
            <w:hideMark/>
          </w:tcPr>
          <w:p w:rsidR="00052FD0" w:rsidRDefault="00052FD0">
            <w:pPr>
              <w:rPr>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052FD0" w:rsidRDefault="00052FD0">
            <w:pPr>
              <w:rPr>
                <w:b/>
                <w:bCs/>
                <w:color w:val="000000"/>
                <w:sz w:val="22"/>
              </w:rPr>
            </w:pPr>
          </w:p>
        </w:tc>
      </w:tr>
      <w:tr w:rsidR="00052FD0" w:rsidTr="00052FD0">
        <w:trPr>
          <w:trHeight w:val="270"/>
        </w:trPr>
        <w:tc>
          <w:tcPr>
            <w:tcW w:w="0" w:type="auto"/>
            <w:gridSpan w:val="3"/>
            <w:tcBorders>
              <w:top w:val="nil"/>
              <w:left w:val="nil"/>
              <w:bottom w:val="nil"/>
              <w:right w:val="nil"/>
            </w:tcBorders>
            <w:shd w:val="clear" w:color="auto" w:fill="auto"/>
            <w:noWrap/>
            <w:vAlign w:val="center"/>
            <w:hideMark/>
          </w:tcPr>
          <w:p w:rsidR="00052FD0" w:rsidRDefault="00052FD0">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052FD0" w:rsidTr="00052FD0">
        <w:trPr>
          <w:trHeight w:val="1875"/>
        </w:trPr>
        <w:tc>
          <w:tcPr>
            <w:tcW w:w="8240" w:type="dxa"/>
            <w:gridSpan w:val="3"/>
            <w:tcBorders>
              <w:top w:val="nil"/>
              <w:left w:val="nil"/>
              <w:bottom w:val="nil"/>
              <w:right w:val="nil"/>
            </w:tcBorders>
            <w:shd w:val="clear" w:color="auto" w:fill="auto"/>
            <w:vAlign w:val="center"/>
            <w:hideMark/>
          </w:tcPr>
          <w:p w:rsidR="00052FD0" w:rsidRDefault="00052FD0">
            <w:pPr>
              <w:rPr>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052FD0" w:rsidTr="00052FD0">
        <w:trPr>
          <w:trHeight w:val="270"/>
        </w:trPr>
        <w:tc>
          <w:tcPr>
            <w:tcW w:w="0" w:type="auto"/>
            <w:gridSpan w:val="2"/>
            <w:tcBorders>
              <w:top w:val="nil"/>
              <w:left w:val="nil"/>
              <w:bottom w:val="nil"/>
              <w:right w:val="nil"/>
            </w:tcBorders>
            <w:shd w:val="clear" w:color="auto" w:fill="auto"/>
            <w:noWrap/>
            <w:vAlign w:val="center"/>
            <w:hideMark/>
          </w:tcPr>
          <w:p w:rsidR="00052FD0" w:rsidRDefault="00052FD0">
            <w:pPr>
              <w:rPr>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052FD0" w:rsidRDefault="00052FD0">
            <w:pPr>
              <w:rPr>
                <w:b/>
                <w:bCs/>
                <w:color w:val="000000"/>
                <w:szCs w:val="21"/>
              </w:rPr>
            </w:pPr>
          </w:p>
        </w:tc>
      </w:tr>
      <w:tr w:rsidR="00052FD0" w:rsidTr="00052FD0">
        <w:trPr>
          <w:trHeight w:val="2730"/>
        </w:trPr>
        <w:tc>
          <w:tcPr>
            <w:tcW w:w="8240" w:type="dxa"/>
            <w:gridSpan w:val="3"/>
            <w:tcBorders>
              <w:top w:val="nil"/>
              <w:left w:val="nil"/>
              <w:bottom w:val="nil"/>
              <w:right w:val="nil"/>
            </w:tcBorders>
            <w:shd w:val="clear" w:color="auto" w:fill="auto"/>
            <w:vAlign w:val="center"/>
            <w:hideMark/>
          </w:tcPr>
          <w:p w:rsidR="00052FD0" w:rsidRDefault="00052FD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052FD0" w:rsidTr="00052FD0">
        <w:trPr>
          <w:trHeight w:val="285"/>
        </w:trPr>
        <w:tc>
          <w:tcPr>
            <w:tcW w:w="0" w:type="auto"/>
            <w:tcBorders>
              <w:top w:val="nil"/>
              <w:left w:val="nil"/>
              <w:bottom w:val="nil"/>
              <w:right w:val="nil"/>
            </w:tcBorders>
            <w:shd w:val="clear" w:color="auto" w:fill="auto"/>
            <w:noWrap/>
            <w:vAlign w:val="center"/>
            <w:hideMark/>
          </w:tcPr>
          <w:p w:rsidR="00052FD0" w:rsidRDefault="00052FD0">
            <w:pPr>
              <w:rPr>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052FD0" w:rsidRDefault="00052FD0">
            <w:pPr>
              <w:rPr>
                <w:b/>
                <w:bCs/>
                <w:color w:val="000000"/>
              </w:rPr>
            </w:pPr>
          </w:p>
        </w:tc>
        <w:tc>
          <w:tcPr>
            <w:tcW w:w="0" w:type="auto"/>
            <w:tcBorders>
              <w:top w:val="nil"/>
              <w:left w:val="nil"/>
              <w:bottom w:val="nil"/>
              <w:right w:val="nil"/>
            </w:tcBorders>
            <w:shd w:val="clear" w:color="auto" w:fill="auto"/>
            <w:noWrap/>
            <w:vAlign w:val="center"/>
            <w:hideMark/>
          </w:tcPr>
          <w:p w:rsidR="00052FD0" w:rsidRDefault="00052FD0">
            <w:pPr>
              <w:rPr>
                <w:rFonts w:ascii="Times New Roman" w:eastAsia="Times New Roman" w:hAnsi="Times New Roman" w:cs="Times New Roman"/>
                <w:sz w:val="20"/>
                <w:szCs w:val="20"/>
              </w:rPr>
            </w:pPr>
          </w:p>
        </w:tc>
      </w:tr>
      <w:tr w:rsidR="00052FD0" w:rsidTr="00052FD0">
        <w:trPr>
          <w:trHeight w:val="3660"/>
        </w:trPr>
        <w:tc>
          <w:tcPr>
            <w:tcW w:w="8240" w:type="dxa"/>
            <w:gridSpan w:val="3"/>
            <w:tcBorders>
              <w:top w:val="nil"/>
              <w:left w:val="nil"/>
              <w:bottom w:val="nil"/>
              <w:right w:val="nil"/>
            </w:tcBorders>
            <w:shd w:val="clear" w:color="auto" w:fill="auto"/>
            <w:vAlign w:val="center"/>
            <w:hideMark/>
          </w:tcPr>
          <w:p w:rsidR="00052FD0" w:rsidRDefault="00052FD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052FD0" w:rsidTr="00052FD0">
        <w:trPr>
          <w:trHeight w:val="525"/>
        </w:trPr>
        <w:tc>
          <w:tcPr>
            <w:tcW w:w="8240" w:type="dxa"/>
            <w:gridSpan w:val="3"/>
            <w:tcBorders>
              <w:top w:val="nil"/>
              <w:left w:val="nil"/>
              <w:bottom w:val="nil"/>
              <w:right w:val="nil"/>
            </w:tcBorders>
            <w:shd w:val="clear" w:color="auto" w:fill="auto"/>
            <w:vAlign w:val="center"/>
            <w:hideMark/>
          </w:tcPr>
          <w:p w:rsidR="00052FD0" w:rsidRDefault="00052FD0">
            <w:pPr>
              <w:jc w:val="center"/>
              <w:rPr>
                <w:color w:val="000000"/>
                <w:sz w:val="22"/>
              </w:rPr>
            </w:pPr>
            <w:r>
              <w:rPr>
                <w:rFonts w:hint="eastAsia"/>
                <w:color w:val="000000"/>
                <w:sz w:val="22"/>
              </w:rPr>
              <w:t>―――――――――――――――――――――――――――――――――――――</w:t>
            </w:r>
          </w:p>
        </w:tc>
      </w:tr>
      <w:tr w:rsidR="00052FD0" w:rsidTr="00052FD0">
        <w:trPr>
          <w:trHeight w:val="855"/>
        </w:trPr>
        <w:tc>
          <w:tcPr>
            <w:tcW w:w="8240" w:type="dxa"/>
            <w:gridSpan w:val="3"/>
            <w:tcBorders>
              <w:top w:val="nil"/>
              <w:left w:val="nil"/>
              <w:bottom w:val="nil"/>
              <w:right w:val="nil"/>
            </w:tcBorders>
            <w:shd w:val="clear" w:color="auto" w:fill="auto"/>
            <w:vAlign w:val="center"/>
            <w:hideMark/>
          </w:tcPr>
          <w:p w:rsidR="00052FD0" w:rsidRDefault="00052FD0">
            <w:pPr>
              <w:jc w:val="left"/>
              <w:rPr>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169</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052FD0" w:rsidTr="00052FD0">
        <w:trPr>
          <w:trHeight w:val="285"/>
        </w:trPr>
        <w:tc>
          <w:tcPr>
            <w:tcW w:w="0" w:type="auto"/>
            <w:tcBorders>
              <w:top w:val="nil"/>
              <w:left w:val="nil"/>
              <w:bottom w:val="nil"/>
              <w:right w:val="nil"/>
            </w:tcBorders>
            <w:shd w:val="clear" w:color="auto" w:fill="auto"/>
            <w:noWrap/>
            <w:vAlign w:val="center"/>
            <w:hideMark/>
          </w:tcPr>
          <w:p w:rsidR="00052FD0" w:rsidRDefault="00052FD0">
            <w:pPr>
              <w:rPr>
                <w:rFonts w:ascii="仿宋_GB2312" w:eastAsia="仿宋_GB2312"/>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052FD0" w:rsidRDefault="00052FD0">
            <w:pPr>
              <w:rPr>
                <w:rFonts w:ascii="仿宋_GB2312" w:eastAsia="仿宋_GB2312"/>
                <w:b/>
                <w:bCs/>
                <w:color w:val="000000"/>
              </w:rPr>
            </w:pPr>
          </w:p>
        </w:tc>
        <w:tc>
          <w:tcPr>
            <w:tcW w:w="0" w:type="auto"/>
            <w:tcBorders>
              <w:top w:val="nil"/>
              <w:left w:val="nil"/>
              <w:bottom w:val="nil"/>
              <w:right w:val="nil"/>
            </w:tcBorders>
            <w:shd w:val="clear" w:color="auto" w:fill="auto"/>
            <w:noWrap/>
            <w:vAlign w:val="center"/>
            <w:hideMark/>
          </w:tcPr>
          <w:p w:rsidR="00052FD0" w:rsidRDefault="00052FD0">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A8069F" w:rsidRDefault="00A8069F">
      <w:bookmarkStart w:id="0" w:name="_GoBack"/>
      <w:bookmarkEnd w:id="0"/>
    </w:p>
    <w:sectPr w:rsidR="00A8069F" w:rsidSect="00131E0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CDE" w:rsidRDefault="00AF2CDE" w:rsidP="00591A81">
      <w:r>
        <w:separator/>
      </w:r>
    </w:p>
  </w:endnote>
  <w:endnote w:type="continuationSeparator" w:id="0">
    <w:p w:rsidR="00AF2CDE" w:rsidRDefault="00AF2CDE" w:rsidP="00591A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CDE" w:rsidRDefault="00AF2CDE" w:rsidP="00591A81">
      <w:r>
        <w:separator/>
      </w:r>
    </w:p>
  </w:footnote>
  <w:footnote w:type="continuationSeparator" w:id="0">
    <w:p w:rsidR="00AF2CDE" w:rsidRDefault="00AF2CDE" w:rsidP="00591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81" w:rsidRPr="00591A81" w:rsidRDefault="00591A81" w:rsidP="00591A81">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w:t>
    </w:r>
    <w:r w:rsidR="00AE65EF">
      <w:rPr>
        <w:rFonts w:ascii="宋体" w:hAnsi="宋体" w:hint="eastAsia"/>
      </w:rPr>
      <w:t>0173</w:t>
    </w:r>
  </w:p>
  <w:p w:rsidR="00591A81" w:rsidRDefault="00591A8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2FD0"/>
    <w:rsid w:val="00052FD0"/>
    <w:rsid w:val="00131E00"/>
    <w:rsid w:val="00462AC3"/>
    <w:rsid w:val="00591A81"/>
    <w:rsid w:val="008F1CBD"/>
    <w:rsid w:val="00A8069F"/>
    <w:rsid w:val="00AE65EF"/>
    <w:rsid w:val="00AF2C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E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A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A81"/>
    <w:rPr>
      <w:sz w:val="18"/>
      <w:szCs w:val="18"/>
    </w:rPr>
  </w:style>
  <w:style w:type="paragraph" w:styleId="a4">
    <w:name w:val="footer"/>
    <w:basedOn w:val="a"/>
    <w:link w:val="Char0"/>
    <w:uiPriority w:val="99"/>
    <w:semiHidden/>
    <w:unhideWhenUsed/>
    <w:rsid w:val="00591A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1A81"/>
    <w:rPr>
      <w:sz w:val="18"/>
      <w:szCs w:val="18"/>
    </w:rPr>
  </w:style>
  <w:style w:type="paragraph" w:styleId="a5">
    <w:name w:val="Balloon Text"/>
    <w:basedOn w:val="a"/>
    <w:link w:val="Char1"/>
    <w:uiPriority w:val="99"/>
    <w:semiHidden/>
    <w:unhideWhenUsed/>
    <w:rsid w:val="00591A81"/>
    <w:rPr>
      <w:sz w:val="18"/>
      <w:szCs w:val="18"/>
    </w:rPr>
  </w:style>
  <w:style w:type="character" w:customStyle="1" w:styleId="Char1">
    <w:name w:val="批注框文本 Char"/>
    <w:basedOn w:val="a0"/>
    <w:link w:val="a5"/>
    <w:uiPriority w:val="99"/>
    <w:semiHidden/>
    <w:rsid w:val="00591A81"/>
    <w:rPr>
      <w:sz w:val="18"/>
      <w:szCs w:val="18"/>
    </w:rPr>
  </w:style>
</w:styles>
</file>

<file path=word/webSettings.xml><?xml version="1.0" encoding="utf-8"?>
<w:webSettings xmlns:r="http://schemas.openxmlformats.org/officeDocument/2006/relationships" xmlns:w="http://schemas.openxmlformats.org/wordprocessingml/2006/main">
  <w:divs>
    <w:div w:id="5534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827</Words>
  <Characters>4714</Characters>
  <Application>Microsoft Office Word</Application>
  <DocSecurity>0</DocSecurity>
  <Lines>39</Lines>
  <Paragraphs>11</Paragraphs>
  <ScaleCrop>false</ScaleCrop>
  <Company>中国平安保险(集团)股份有限公司</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郭俊福</dc:creator>
  <cp:keywords/>
  <dc:description/>
  <cp:lastModifiedBy>PINGAN</cp:lastModifiedBy>
  <cp:revision>3</cp:revision>
  <dcterms:created xsi:type="dcterms:W3CDTF">2014-12-30T03:25:00Z</dcterms:created>
  <dcterms:modified xsi:type="dcterms:W3CDTF">2015-01-28T02:56:00Z</dcterms:modified>
</cp:coreProperties>
</file>