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2260"/>
        <w:gridCol w:w="1080"/>
        <w:gridCol w:w="4900"/>
      </w:tblGrid>
      <w:tr w:rsidR="00752D15" w:rsidTr="00752D15">
        <w:trPr>
          <w:trHeight w:val="735"/>
        </w:trPr>
        <w:tc>
          <w:tcPr>
            <w:tcW w:w="8240" w:type="dxa"/>
            <w:gridSpan w:val="3"/>
            <w:tcBorders>
              <w:top w:val="nil"/>
              <w:left w:val="nil"/>
              <w:bottom w:val="nil"/>
              <w:right w:val="nil"/>
            </w:tcBorders>
            <w:shd w:val="clear" w:color="auto" w:fill="auto"/>
            <w:vAlign w:val="center"/>
            <w:hideMark/>
          </w:tcPr>
          <w:p w:rsidR="00752D15" w:rsidRDefault="00752D15">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平安财富—专享灵活添利现金管理类2015年19期人民币理财产品说明书</w:t>
            </w:r>
          </w:p>
        </w:tc>
      </w:tr>
      <w:tr w:rsidR="00752D15" w:rsidTr="00752D15">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52D15" w:rsidRDefault="00752D15">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752D15" w:rsidTr="00752D15">
        <w:trPr>
          <w:trHeight w:val="285"/>
        </w:trPr>
        <w:tc>
          <w:tcPr>
            <w:tcW w:w="0" w:type="auto"/>
            <w:tcBorders>
              <w:top w:val="nil"/>
              <w:left w:val="nil"/>
              <w:bottom w:val="nil"/>
              <w:right w:val="nil"/>
            </w:tcBorders>
            <w:shd w:val="clear" w:color="auto" w:fill="auto"/>
            <w:noWrap/>
            <w:vAlign w:val="center"/>
            <w:hideMark/>
          </w:tcPr>
          <w:p w:rsidR="00752D15" w:rsidRDefault="00752D15">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752D15" w:rsidRDefault="00752D1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752D15" w:rsidRDefault="00752D15">
            <w:pPr>
              <w:rPr>
                <w:rFonts w:ascii="宋体" w:eastAsia="宋体" w:hAnsi="宋体" w:cs="宋体"/>
                <w:color w:val="000000"/>
                <w:sz w:val="22"/>
              </w:rPr>
            </w:pPr>
          </w:p>
        </w:tc>
      </w:tr>
      <w:tr w:rsidR="00752D15" w:rsidTr="00752D15">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52D15" w:rsidRDefault="00752D15">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752D15" w:rsidRDefault="00752D15">
            <w:pPr>
              <w:rPr>
                <w:rFonts w:ascii="宋体" w:eastAsia="宋体" w:hAnsi="宋体" w:cs="宋体"/>
                <w:b/>
                <w:bCs/>
                <w:color w:val="000000"/>
                <w:sz w:val="22"/>
              </w:rPr>
            </w:pPr>
            <w:r>
              <w:rPr>
                <w:rFonts w:hint="eastAsia"/>
                <w:b/>
                <w:bCs/>
                <w:color w:val="000000"/>
                <w:sz w:val="22"/>
              </w:rPr>
              <w:t>平安财富—专享灵活添利现金管理类</w:t>
            </w:r>
            <w:r>
              <w:rPr>
                <w:rFonts w:hint="eastAsia"/>
                <w:b/>
                <w:bCs/>
                <w:color w:val="000000"/>
                <w:sz w:val="22"/>
              </w:rPr>
              <w:t>2015</w:t>
            </w:r>
            <w:r>
              <w:rPr>
                <w:rFonts w:hint="eastAsia"/>
                <w:b/>
                <w:bCs/>
                <w:color w:val="000000"/>
                <w:sz w:val="22"/>
              </w:rPr>
              <w:t>年</w:t>
            </w:r>
            <w:r>
              <w:rPr>
                <w:rFonts w:hint="eastAsia"/>
                <w:b/>
                <w:bCs/>
                <w:color w:val="000000"/>
                <w:sz w:val="22"/>
              </w:rPr>
              <w:t>19</w:t>
            </w:r>
            <w:r>
              <w:rPr>
                <w:rFonts w:hint="eastAsia"/>
                <w:b/>
                <w:bCs/>
                <w:color w:val="000000"/>
                <w:sz w:val="22"/>
              </w:rPr>
              <w:t>期人民币理财产品</w:t>
            </w:r>
          </w:p>
        </w:tc>
      </w:tr>
      <w:tr w:rsidR="00752D15" w:rsidTr="00752D1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52D15" w:rsidRDefault="00752D15">
            <w:pPr>
              <w:rPr>
                <w:rFonts w:ascii="宋体" w:eastAsia="宋体" w:hAnsi="宋体" w:cs="宋体"/>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752D15" w:rsidRDefault="00752D15">
            <w:pPr>
              <w:rPr>
                <w:rFonts w:ascii="宋体" w:eastAsia="宋体" w:hAnsi="宋体" w:cs="宋体"/>
                <w:color w:val="000000"/>
                <w:sz w:val="22"/>
              </w:rPr>
            </w:pPr>
            <w:r>
              <w:rPr>
                <w:rFonts w:hint="eastAsia"/>
                <w:color w:val="000000"/>
                <w:sz w:val="22"/>
              </w:rPr>
              <w:t>“二级”低风险</w:t>
            </w:r>
          </w:p>
        </w:tc>
      </w:tr>
      <w:tr w:rsidR="00752D15" w:rsidTr="00752D15">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52D15" w:rsidRDefault="00752D15">
            <w:pPr>
              <w:rPr>
                <w:rFonts w:ascii="宋体" w:eastAsia="宋体" w:hAnsi="宋体" w:cs="宋体"/>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752D15" w:rsidRDefault="00752D15">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752D15" w:rsidTr="00752D15">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52D15" w:rsidRDefault="00752D15">
            <w:pPr>
              <w:rPr>
                <w:rFonts w:ascii="宋体" w:eastAsia="宋体" w:hAnsi="宋体" w:cs="宋体"/>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752D15" w:rsidRDefault="00752D15">
            <w:pPr>
              <w:rPr>
                <w:rFonts w:ascii="宋体" w:eastAsia="宋体" w:hAnsi="宋体" w:cs="宋体"/>
                <w:color w:val="000000"/>
                <w:sz w:val="22"/>
              </w:rPr>
            </w:pPr>
            <w:r>
              <w:rPr>
                <w:rFonts w:hint="eastAsia"/>
                <w:color w:val="000000"/>
                <w:sz w:val="22"/>
              </w:rPr>
              <w:t>60</w:t>
            </w:r>
            <w:r>
              <w:rPr>
                <w:rFonts w:hint="eastAsia"/>
                <w:color w:val="000000"/>
                <w:sz w:val="22"/>
              </w:rPr>
              <w:t>天</w:t>
            </w:r>
          </w:p>
        </w:tc>
      </w:tr>
      <w:tr w:rsidR="00752D15" w:rsidTr="00752D1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52D15" w:rsidRDefault="00752D15">
            <w:pPr>
              <w:rPr>
                <w:rFonts w:ascii="宋体" w:eastAsia="宋体" w:hAnsi="宋体" w:cs="宋体"/>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752D15" w:rsidRDefault="00752D15">
            <w:pPr>
              <w:rPr>
                <w:rFonts w:ascii="宋体" w:eastAsia="宋体" w:hAnsi="宋体" w:cs="宋体"/>
                <w:color w:val="000000"/>
                <w:sz w:val="22"/>
              </w:rPr>
            </w:pPr>
            <w:r>
              <w:rPr>
                <w:rFonts w:hint="eastAsia"/>
                <w:color w:val="000000"/>
                <w:sz w:val="22"/>
              </w:rPr>
              <w:t>人民币</w:t>
            </w:r>
          </w:p>
        </w:tc>
      </w:tr>
      <w:tr w:rsidR="00752D15" w:rsidTr="00752D1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52D15" w:rsidRDefault="00752D15">
            <w:pPr>
              <w:rPr>
                <w:rFonts w:ascii="宋体" w:eastAsia="宋体" w:hAnsi="宋体" w:cs="宋体"/>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752D15" w:rsidRDefault="00752D15">
            <w:pPr>
              <w:rPr>
                <w:rFonts w:ascii="宋体" w:eastAsia="宋体" w:hAnsi="宋体" w:cs="宋体"/>
                <w:color w:val="000000"/>
                <w:sz w:val="22"/>
              </w:rPr>
            </w:pPr>
            <w:r>
              <w:rPr>
                <w:rFonts w:hint="eastAsia"/>
                <w:color w:val="000000"/>
                <w:sz w:val="22"/>
              </w:rPr>
              <w:t>非保本浮动收益型产品</w:t>
            </w:r>
          </w:p>
        </w:tc>
      </w:tr>
      <w:tr w:rsidR="00752D15" w:rsidTr="00752D1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52D15" w:rsidRDefault="00752D15">
            <w:pPr>
              <w:rPr>
                <w:rFonts w:ascii="宋体" w:eastAsia="宋体" w:hAnsi="宋体" w:cs="宋体"/>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752D15" w:rsidRDefault="00752D15">
            <w:pPr>
              <w:rPr>
                <w:rFonts w:ascii="宋体" w:eastAsia="宋体" w:hAnsi="宋体" w:cs="宋体"/>
                <w:color w:val="000000"/>
                <w:sz w:val="22"/>
              </w:rPr>
            </w:pPr>
            <w:r>
              <w:rPr>
                <w:rFonts w:hint="eastAsia"/>
                <w:color w:val="000000"/>
                <w:sz w:val="22"/>
              </w:rPr>
              <w:t>10</w:t>
            </w:r>
            <w:r>
              <w:rPr>
                <w:rFonts w:hint="eastAsia"/>
                <w:color w:val="000000"/>
                <w:sz w:val="22"/>
              </w:rPr>
              <w:t>亿元，平安银行有权按照实际情况进行调整。</w:t>
            </w:r>
          </w:p>
        </w:tc>
      </w:tr>
      <w:tr w:rsidR="00752D15" w:rsidTr="00752D1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52D15" w:rsidRDefault="00752D15">
            <w:pPr>
              <w:rPr>
                <w:rFonts w:ascii="宋体" w:eastAsia="宋体" w:hAnsi="宋体" w:cs="宋体"/>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752D15" w:rsidRDefault="00752D15">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752D15" w:rsidTr="00752D1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52D15" w:rsidRDefault="00752D15">
            <w:pPr>
              <w:rPr>
                <w:rFonts w:ascii="宋体" w:eastAsia="宋体" w:hAnsi="宋体" w:cs="宋体"/>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752D15" w:rsidRDefault="00752D15">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752D15" w:rsidTr="00752D15">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52D15" w:rsidRDefault="00752D15">
            <w:pPr>
              <w:rPr>
                <w:rFonts w:ascii="宋体" w:eastAsia="宋体" w:hAnsi="宋体" w:cs="宋体"/>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752D15" w:rsidRDefault="00752D15">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29</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29</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752D15" w:rsidTr="00752D1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52D15" w:rsidRDefault="00752D15">
            <w:pPr>
              <w:rPr>
                <w:rFonts w:ascii="宋体" w:eastAsia="宋体" w:hAnsi="宋体" w:cs="宋体"/>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752D15" w:rsidRDefault="00752D15">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30</w:t>
            </w:r>
            <w:r>
              <w:rPr>
                <w:rFonts w:hint="eastAsia"/>
                <w:color w:val="000000"/>
                <w:sz w:val="22"/>
              </w:rPr>
              <w:t>日</w:t>
            </w:r>
          </w:p>
        </w:tc>
      </w:tr>
      <w:tr w:rsidR="00752D15" w:rsidTr="00752D15">
        <w:trPr>
          <w:trHeight w:val="139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52D15" w:rsidRDefault="00752D15">
            <w:pPr>
              <w:rPr>
                <w:rFonts w:ascii="宋体" w:eastAsia="宋体" w:hAnsi="宋体" w:cs="宋体"/>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752D15" w:rsidRDefault="00752D15">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752D15" w:rsidTr="00752D15">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52D15" w:rsidRDefault="00752D15">
            <w:pPr>
              <w:rPr>
                <w:rFonts w:ascii="宋体" w:eastAsia="宋体" w:hAnsi="宋体" w:cs="宋体"/>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752D15" w:rsidRDefault="00752D15">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30</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752D15" w:rsidTr="00752D15">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52D15" w:rsidRDefault="00752D15">
            <w:pPr>
              <w:rPr>
                <w:rFonts w:ascii="宋体" w:eastAsia="宋体" w:hAnsi="宋体" w:cs="宋体"/>
                <w:color w:val="000000"/>
                <w:sz w:val="22"/>
              </w:rPr>
            </w:pPr>
            <w:r>
              <w:rPr>
                <w:rFonts w:hint="eastAsia"/>
                <w:color w:val="000000"/>
                <w:sz w:val="22"/>
              </w:rPr>
              <w:lastRenderedPageBreak/>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752D15" w:rsidRDefault="00752D15">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03</w:t>
            </w:r>
            <w:r>
              <w:rPr>
                <w:rFonts w:hint="eastAsia"/>
                <w:color w:val="000000"/>
                <w:sz w:val="22"/>
              </w:rPr>
              <w:t>月</w:t>
            </w:r>
            <w:r>
              <w:rPr>
                <w:rFonts w:hint="eastAsia"/>
                <w:color w:val="000000"/>
                <w:sz w:val="22"/>
              </w:rPr>
              <w:t>31</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752D15" w:rsidTr="00752D15">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52D15" w:rsidRDefault="00752D15">
            <w:pPr>
              <w:rPr>
                <w:rFonts w:ascii="宋体" w:eastAsia="宋体" w:hAnsi="宋体" w:cs="宋体"/>
                <w:color w:val="000000"/>
                <w:sz w:val="22"/>
              </w:rPr>
            </w:pPr>
            <w:r>
              <w:rPr>
                <w:rFonts w:hint="eastAsia"/>
                <w:color w:val="000000"/>
                <w:sz w:val="22"/>
              </w:rPr>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752D15" w:rsidRDefault="00752D15">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752D15" w:rsidTr="00752D1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52D15" w:rsidRDefault="00752D15">
            <w:pPr>
              <w:rPr>
                <w:rFonts w:ascii="宋体" w:eastAsia="宋体" w:hAnsi="宋体" w:cs="宋体"/>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752D15" w:rsidRDefault="00752D15">
            <w:pPr>
              <w:rPr>
                <w:rFonts w:ascii="宋体" w:eastAsia="宋体" w:hAnsi="宋体" w:cs="宋体"/>
                <w:color w:val="000000"/>
                <w:sz w:val="22"/>
              </w:rPr>
            </w:pPr>
            <w:r>
              <w:rPr>
                <w:rFonts w:hint="eastAsia"/>
                <w:color w:val="000000"/>
                <w:sz w:val="22"/>
              </w:rPr>
              <w:t>平安银行股份有限公司</w:t>
            </w:r>
          </w:p>
        </w:tc>
      </w:tr>
      <w:tr w:rsidR="00752D15" w:rsidTr="00752D15">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52D15" w:rsidRDefault="00752D15">
            <w:pPr>
              <w:rPr>
                <w:rFonts w:ascii="宋体" w:eastAsia="宋体" w:hAnsi="宋体" w:cs="宋体"/>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752D15" w:rsidRDefault="00752D15">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6F0A3C">
              <w:rPr>
                <w:rFonts w:hint="eastAsia"/>
                <w:color w:val="000000"/>
                <w:sz w:val="22"/>
              </w:rPr>
              <w:t>5.50</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752D15" w:rsidTr="00752D15">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52D15" w:rsidRDefault="00752D15">
            <w:pPr>
              <w:rPr>
                <w:rFonts w:ascii="宋体" w:eastAsia="宋体" w:hAnsi="宋体" w:cs="宋体"/>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752D15" w:rsidRDefault="00A64954">
            <w:pPr>
              <w:rPr>
                <w:rFonts w:ascii="宋体" w:eastAsia="宋体" w:hAnsi="宋体" w:cs="宋体"/>
                <w:color w:val="000000"/>
                <w:sz w:val="22"/>
              </w:rPr>
            </w:pPr>
            <w:r>
              <w:rPr>
                <w:rFonts w:hint="eastAsia"/>
                <w:sz w:val="22"/>
              </w:rPr>
              <w:t>我行白金及以上层级客户均可携带本人身份证件及借记卡到各营业网点办理、网上银行及手机银行办理认购手续。</w:t>
            </w:r>
          </w:p>
        </w:tc>
      </w:tr>
      <w:tr w:rsidR="00752D15" w:rsidTr="00752D15">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52D15" w:rsidRDefault="00752D15">
            <w:pPr>
              <w:rPr>
                <w:rFonts w:ascii="宋体" w:eastAsia="宋体" w:hAnsi="宋体" w:cs="宋体"/>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752D15" w:rsidRDefault="00752D15">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752D15" w:rsidTr="00752D1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52D15" w:rsidRDefault="00752D15">
            <w:pPr>
              <w:rPr>
                <w:rFonts w:ascii="宋体" w:eastAsia="宋体" w:hAnsi="宋体" w:cs="宋体"/>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752D15" w:rsidRDefault="00752D15">
            <w:pPr>
              <w:rPr>
                <w:rFonts w:ascii="宋体" w:eastAsia="宋体" w:hAnsi="宋体" w:cs="宋体"/>
                <w:color w:val="000000"/>
                <w:sz w:val="22"/>
              </w:rPr>
            </w:pPr>
            <w:r>
              <w:rPr>
                <w:rFonts w:hint="eastAsia"/>
                <w:color w:val="000000"/>
                <w:sz w:val="22"/>
              </w:rPr>
              <w:t>国家法定工作日</w:t>
            </w:r>
          </w:p>
        </w:tc>
      </w:tr>
      <w:tr w:rsidR="00752D15" w:rsidTr="00752D15">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52D15" w:rsidRDefault="00752D15">
            <w:pPr>
              <w:rPr>
                <w:rFonts w:ascii="宋体" w:eastAsia="宋体" w:hAnsi="宋体" w:cs="宋体"/>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752D15" w:rsidRDefault="00752D15">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752D15" w:rsidTr="00752D1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52D15" w:rsidRDefault="00752D15">
            <w:pPr>
              <w:rPr>
                <w:rFonts w:ascii="宋体" w:eastAsia="宋体" w:hAnsi="宋体" w:cs="宋体"/>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752D15" w:rsidRDefault="00752D15">
            <w:pPr>
              <w:rPr>
                <w:rFonts w:ascii="宋体" w:eastAsia="宋体" w:hAnsi="宋体" w:cs="宋体"/>
                <w:color w:val="000000"/>
                <w:sz w:val="22"/>
              </w:rPr>
            </w:pPr>
            <w:r>
              <w:rPr>
                <w:rFonts w:hint="eastAsia"/>
                <w:color w:val="000000"/>
                <w:sz w:val="22"/>
              </w:rPr>
              <w:t>理财收益的应纳税款由投资者自行申报及缴纳</w:t>
            </w:r>
          </w:p>
        </w:tc>
      </w:tr>
      <w:tr w:rsidR="00752D15" w:rsidTr="00752D15">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752D15" w:rsidRDefault="00752D15">
            <w:pPr>
              <w:rPr>
                <w:rFonts w:ascii="宋体" w:eastAsia="宋体" w:hAnsi="宋体" w:cs="宋体"/>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752D15" w:rsidRDefault="00752D15">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752D15" w:rsidTr="00752D15">
        <w:trPr>
          <w:trHeight w:val="270"/>
        </w:trPr>
        <w:tc>
          <w:tcPr>
            <w:tcW w:w="0" w:type="auto"/>
            <w:gridSpan w:val="3"/>
            <w:tcBorders>
              <w:top w:val="single" w:sz="4" w:space="0" w:color="auto"/>
              <w:left w:val="nil"/>
              <w:bottom w:val="nil"/>
              <w:right w:val="nil"/>
            </w:tcBorders>
            <w:shd w:val="clear" w:color="auto" w:fill="auto"/>
            <w:noWrap/>
            <w:vAlign w:val="center"/>
            <w:hideMark/>
          </w:tcPr>
          <w:p w:rsidR="00752D15" w:rsidRDefault="00752D15">
            <w:pPr>
              <w:rPr>
                <w:rFonts w:ascii="宋体" w:eastAsia="宋体" w:hAnsi="宋体" w:cs="宋体"/>
                <w:color w:val="000000"/>
                <w:sz w:val="22"/>
              </w:rPr>
            </w:pPr>
            <w:r>
              <w:rPr>
                <w:rFonts w:hint="eastAsia"/>
                <w:color w:val="000000"/>
                <w:sz w:val="22"/>
              </w:rPr>
              <w:t>平安银行有权根据节假日进行调整，并以实际公布为准。</w:t>
            </w:r>
          </w:p>
        </w:tc>
      </w:tr>
      <w:tr w:rsidR="00752D15" w:rsidTr="00752D15">
        <w:trPr>
          <w:trHeight w:val="285"/>
        </w:trPr>
        <w:tc>
          <w:tcPr>
            <w:tcW w:w="0" w:type="auto"/>
            <w:tcBorders>
              <w:top w:val="nil"/>
              <w:left w:val="nil"/>
              <w:bottom w:val="nil"/>
              <w:right w:val="nil"/>
            </w:tcBorders>
            <w:shd w:val="clear" w:color="auto" w:fill="auto"/>
            <w:noWrap/>
            <w:vAlign w:val="center"/>
            <w:hideMark/>
          </w:tcPr>
          <w:p w:rsidR="00752D15" w:rsidRDefault="00752D15">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752D15" w:rsidRDefault="00752D1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752D15" w:rsidRDefault="00752D15">
            <w:pPr>
              <w:rPr>
                <w:rFonts w:ascii="宋体" w:eastAsia="宋体" w:hAnsi="宋体" w:cs="宋体"/>
                <w:color w:val="000000"/>
                <w:sz w:val="22"/>
              </w:rPr>
            </w:pPr>
          </w:p>
        </w:tc>
      </w:tr>
      <w:tr w:rsidR="00752D15" w:rsidTr="00752D15">
        <w:trPr>
          <w:trHeight w:val="525"/>
        </w:trPr>
        <w:tc>
          <w:tcPr>
            <w:tcW w:w="8240" w:type="dxa"/>
            <w:gridSpan w:val="3"/>
            <w:tcBorders>
              <w:top w:val="nil"/>
              <w:left w:val="nil"/>
              <w:bottom w:val="nil"/>
              <w:right w:val="nil"/>
            </w:tcBorders>
            <w:shd w:val="clear" w:color="auto" w:fill="auto"/>
            <w:vAlign w:val="center"/>
            <w:hideMark/>
          </w:tcPr>
          <w:p w:rsidR="00752D15" w:rsidRDefault="00752D15">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本理财产品投资于银行间市场信用等级较高、流动性较好的债券以及货币市场工具。</w:t>
            </w:r>
          </w:p>
        </w:tc>
      </w:tr>
      <w:tr w:rsidR="00752D15" w:rsidTr="00752D15">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52D15" w:rsidRDefault="00752D15">
            <w:pPr>
              <w:jc w:val="center"/>
              <w:rPr>
                <w:rFonts w:ascii="宋体" w:eastAsia="宋体" w:hAnsi="宋体" w:cs="宋体"/>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752D15" w:rsidRDefault="00752D15">
            <w:pPr>
              <w:jc w:val="center"/>
              <w:rPr>
                <w:rFonts w:ascii="宋体" w:eastAsia="宋体" w:hAnsi="宋体" w:cs="宋体"/>
                <w:color w:val="000000"/>
                <w:szCs w:val="21"/>
              </w:rPr>
            </w:pPr>
            <w:r>
              <w:rPr>
                <w:rFonts w:hint="eastAsia"/>
                <w:color w:val="000000"/>
                <w:szCs w:val="21"/>
              </w:rPr>
              <w:t>投资比例</w:t>
            </w:r>
          </w:p>
        </w:tc>
      </w:tr>
      <w:tr w:rsidR="00752D15" w:rsidTr="00752D15">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52D15" w:rsidRDefault="00752D15">
            <w:pPr>
              <w:jc w:val="center"/>
              <w:rPr>
                <w:rFonts w:ascii="宋体" w:eastAsia="宋体" w:hAnsi="宋体" w:cs="宋体"/>
                <w:color w:val="000000"/>
                <w:sz w:val="22"/>
              </w:rPr>
            </w:pPr>
            <w:r>
              <w:rPr>
                <w:rFonts w:hint="eastAsia"/>
                <w:color w:val="000000"/>
                <w:sz w:val="22"/>
              </w:rPr>
              <w:t>现金</w:t>
            </w:r>
          </w:p>
        </w:tc>
        <w:tc>
          <w:tcPr>
            <w:tcW w:w="4900" w:type="dxa"/>
            <w:tcBorders>
              <w:top w:val="nil"/>
              <w:left w:val="nil"/>
              <w:bottom w:val="single" w:sz="4" w:space="0" w:color="auto"/>
              <w:right w:val="single" w:sz="4" w:space="0" w:color="auto"/>
            </w:tcBorders>
            <w:shd w:val="clear" w:color="auto" w:fill="auto"/>
            <w:vAlign w:val="center"/>
            <w:hideMark/>
          </w:tcPr>
          <w:p w:rsidR="00752D15" w:rsidRDefault="00752D15">
            <w:pPr>
              <w:jc w:val="center"/>
              <w:rPr>
                <w:rFonts w:ascii="宋体" w:eastAsia="宋体" w:hAnsi="宋体" w:cs="宋体"/>
                <w:color w:val="000000"/>
                <w:szCs w:val="21"/>
              </w:rPr>
            </w:pPr>
            <w:r>
              <w:rPr>
                <w:rFonts w:hint="eastAsia"/>
                <w:color w:val="000000"/>
                <w:szCs w:val="21"/>
              </w:rPr>
              <w:t>0-20%</w:t>
            </w:r>
          </w:p>
        </w:tc>
      </w:tr>
      <w:tr w:rsidR="00752D15" w:rsidTr="00752D15">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52D15" w:rsidRDefault="00752D15">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752D15" w:rsidRDefault="00752D15">
            <w:pPr>
              <w:jc w:val="center"/>
              <w:rPr>
                <w:rFonts w:ascii="宋体" w:eastAsia="宋体" w:hAnsi="宋体" w:cs="宋体"/>
                <w:color w:val="000000"/>
                <w:szCs w:val="21"/>
              </w:rPr>
            </w:pPr>
            <w:r>
              <w:rPr>
                <w:rFonts w:hint="eastAsia"/>
                <w:color w:val="000000"/>
                <w:szCs w:val="21"/>
              </w:rPr>
              <w:t>30-80%</w:t>
            </w:r>
          </w:p>
        </w:tc>
      </w:tr>
      <w:tr w:rsidR="00752D15" w:rsidTr="00752D15">
        <w:trPr>
          <w:trHeight w:val="60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52D15" w:rsidRDefault="00752D15">
            <w:pPr>
              <w:jc w:val="center"/>
              <w:rPr>
                <w:rFonts w:ascii="宋体" w:eastAsia="宋体" w:hAnsi="宋体" w:cs="宋体"/>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752D15" w:rsidRDefault="00752D15">
            <w:pPr>
              <w:jc w:val="center"/>
              <w:rPr>
                <w:rFonts w:ascii="宋体" w:eastAsia="宋体" w:hAnsi="宋体" w:cs="宋体"/>
                <w:color w:val="000000"/>
                <w:szCs w:val="21"/>
              </w:rPr>
            </w:pPr>
            <w:r>
              <w:rPr>
                <w:rFonts w:hint="eastAsia"/>
                <w:color w:val="000000"/>
                <w:szCs w:val="21"/>
              </w:rPr>
              <w:t>0-60%</w:t>
            </w:r>
          </w:p>
        </w:tc>
      </w:tr>
      <w:tr w:rsidR="00752D15" w:rsidTr="00752D15">
        <w:trPr>
          <w:trHeight w:val="1095"/>
        </w:trPr>
        <w:tc>
          <w:tcPr>
            <w:tcW w:w="8240" w:type="dxa"/>
            <w:gridSpan w:val="3"/>
            <w:tcBorders>
              <w:top w:val="nil"/>
              <w:left w:val="nil"/>
              <w:bottom w:val="nil"/>
              <w:right w:val="nil"/>
            </w:tcBorders>
            <w:shd w:val="clear" w:color="auto" w:fill="auto"/>
            <w:vAlign w:val="center"/>
            <w:hideMark/>
          </w:tcPr>
          <w:p w:rsidR="00752D15" w:rsidRDefault="00752D15">
            <w:pPr>
              <w:rPr>
                <w:rFonts w:ascii="宋体" w:eastAsia="宋体" w:hAnsi="宋体" w:cs="宋体"/>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公告的前提下，对本理财产品的投资种类和投资比例进行调整。投资者若对此有异议，可在公告后五个工作日内到网点办理提前赎回该理财产品的相关手续。未在约定时间内提</w:t>
            </w:r>
            <w:r>
              <w:rPr>
                <w:rFonts w:hint="eastAsia"/>
                <w:color w:val="000000"/>
                <w:sz w:val="22"/>
              </w:rPr>
              <w:lastRenderedPageBreak/>
              <w:t>出赎回申请的视同无异议，继续持有本理财计划。</w:t>
            </w:r>
          </w:p>
        </w:tc>
      </w:tr>
      <w:tr w:rsidR="00752D15" w:rsidTr="00752D15">
        <w:trPr>
          <w:trHeight w:val="285"/>
        </w:trPr>
        <w:tc>
          <w:tcPr>
            <w:tcW w:w="0" w:type="auto"/>
            <w:gridSpan w:val="3"/>
            <w:tcBorders>
              <w:top w:val="nil"/>
              <w:left w:val="nil"/>
              <w:bottom w:val="nil"/>
              <w:right w:val="nil"/>
            </w:tcBorders>
            <w:shd w:val="clear" w:color="auto" w:fill="auto"/>
            <w:noWrap/>
            <w:vAlign w:val="center"/>
            <w:hideMark/>
          </w:tcPr>
          <w:p w:rsidR="00752D15" w:rsidRDefault="00752D15">
            <w:pPr>
              <w:rPr>
                <w:rFonts w:ascii="宋体" w:eastAsia="宋体" w:hAnsi="宋体" w:cs="宋体"/>
                <w:b/>
                <w:bCs/>
                <w:color w:val="000000"/>
                <w:sz w:val="24"/>
                <w:szCs w:val="24"/>
              </w:rPr>
            </w:pPr>
            <w:r>
              <w:rPr>
                <w:rFonts w:hint="eastAsia"/>
                <w:b/>
                <w:bCs/>
                <w:color w:val="000000"/>
              </w:rPr>
              <w:lastRenderedPageBreak/>
              <w:t>三、理财产品费用、收益分析与计算</w:t>
            </w:r>
          </w:p>
        </w:tc>
      </w:tr>
      <w:tr w:rsidR="00752D15" w:rsidTr="00752D15">
        <w:trPr>
          <w:trHeight w:val="270"/>
        </w:trPr>
        <w:tc>
          <w:tcPr>
            <w:tcW w:w="0" w:type="auto"/>
            <w:gridSpan w:val="3"/>
            <w:tcBorders>
              <w:top w:val="nil"/>
              <w:left w:val="nil"/>
              <w:bottom w:val="nil"/>
              <w:right w:val="nil"/>
            </w:tcBorders>
            <w:shd w:val="clear" w:color="auto" w:fill="auto"/>
            <w:noWrap/>
            <w:vAlign w:val="center"/>
            <w:hideMark/>
          </w:tcPr>
          <w:p w:rsidR="00752D15" w:rsidRDefault="00752D15">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752D15" w:rsidTr="00752D15">
        <w:trPr>
          <w:trHeight w:val="3510"/>
        </w:trPr>
        <w:tc>
          <w:tcPr>
            <w:tcW w:w="8240" w:type="dxa"/>
            <w:gridSpan w:val="3"/>
            <w:tcBorders>
              <w:top w:val="nil"/>
              <w:left w:val="nil"/>
              <w:bottom w:val="nil"/>
              <w:right w:val="nil"/>
            </w:tcBorders>
            <w:shd w:val="clear" w:color="auto" w:fill="auto"/>
            <w:vAlign w:val="center"/>
            <w:hideMark/>
          </w:tcPr>
          <w:p w:rsidR="00752D15" w:rsidRDefault="00752D15">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752D15" w:rsidTr="00752D15">
        <w:trPr>
          <w:trHeight w:val="270"/>
        </w:trPr>
        <w:tc>
          <w:tcPr>
            <w:tcW w:w="0" w:type="auto"/>
            <w:gridSpan w:val="3"/>
            <w:tcBorders>
              <w:top w:val="nil"/>
              <w:left w:val="nil"/>
              <w:bottom w:val="nil"/>
              <w:right w:val="nil"/>
            </w:tcBorders>
            <w:shd w:val="clear" w:color="auto" w:fill="auto"/>
            <w:noWrap/>
            <w:vAlign w:val="center"/>
            <w:hideMark/>
          </w:tcPr>
          <w:p w:rsidR="00752D15" w:rsidRDefault="00752D15">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6F0A3C">
              <w:rPr>
                <w:rFonts w:hint="eastAsia"/>
                <w:b/>
                <w:bCs/>
                <w:color w:val="000000"/>
                <w:szCs w:val="21"/>
              </w:rPr>
              <w:t>5.50</w:t>
            </w:r>
            <w:r>
              <w:rPr>
                <w:rFonts w:hint="eastAsia"/>
                <w:b/>
                <w:bCs/>
                <w:color w:val="000000"/>
                <w:szCs w:val="21"/>
              </w:rPr>
              <w:t>%</w:t>
            </w:r>
          </w:p>
        </w:tc>
      </w:tr>
      <w:tr w:rsidR="00752D15" w:rsidTr="00752D15">
        <w:trPr>
          <w:trHeight w:val="555"/>
        </w:trPr>
        <w:tc>
          <w:tcPr>
            <w:tcW w:w="8240" w:type="dxa"/>
            <w:gridSpan w:val="3"/>
            <w:tcBorders>
              <w:top w:val="nil"/>
              <w:left w:val="nil"/>
              <w:bottom w:val="nil"/>
              <w:right w:val="nil"/>
            </w:tcBorders>
            <w:shd w:val="clear" w:color="auto" w:fill="auto"/>
            <w:vAlign w:val="center"/>
            <w:hideMark/>
          </w:tcPr>
          <w:p w:rsidR="00752D15" w:rsidRDefault="00752D15">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752D15" w:rsidTr="00752D15">
        <w:trPr>
          <w:trHeight w:val="270"/>
        </w:trPr>
        <w:tc>
          <w:tcPr>
            <w:tcW w:w="0" w:type="auto"/>
            <w:gridSpan w:val="2"/>
            <w:tcBorders>
              <w:top w:val="nil"/>
              <w:left w:val="nil"/>
              <w:bottom w:val="nil"/>
              <w:right w:val="nil"/>
            </w:tcBorders>
            <w:shd w:val="clear" w:color="auto" w:fill="auto"/>
            <w:noWrap/>
            <w:vAlign w:val="center"/>
            <w:hideMark/>
          </w:tcPr>
          <w:p w:rsidR="00752D15" w:rsidRDefault="00752D15">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752D15" w:rsidRDefault="00752D15">
            <w:pPr>
              <w:rPr>
                <w:rFonts w:ascii="宋体" w:eastAsia="宋体" w:hAnsi="宋体" w:cs="宋体"/>
                <w:color w:val="000000"/>
                <w:sz w:val="22"/>
              </w:rPr>
            </w:pPr>
          </w:p>
        </w:tc>
      </w:tr>
      <w:tr w:rsidR="00752D15" w:rsidTr="00752D15">
        <w:trPr>
          <w:trHeight w:val="555"/>
        </w:trPr>
        <w:tc>
          <w:tcPr>
            <w:tcW w:w="8240" w:type="dxa"/>
            <w:gridSpan w:val="3"/>
            <w:tcBorders>
              <w:top w:val="nil"/>
              <w:left w:val="nil"/>
              <w:bottom w:val="nil"/>
              <w:right w:val="nil"/>
            </w:tcBorders>
            <w:shd w:val="clear" w:color="auto" w:fill="auto"/>
            <w:vAlign w:val="center"/>
            <w:hideMark/>
          </w:tcPr>
          <w:p w:rsidR="00752D15" w:rsidRDefault="00752D15">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752D15" w:rsidTr="00752D15">
        <w:trPr>
          <w:trHeight w:val="270"/>
        </w:trPr>
        <w:tc>
          <w:tcPr>
            <w:tcW w:w="0" w:type="auto"/>
            <w:gridSpan w:val="2"/>
            <w:tcBorders>
              <w:top w:val="nil"/>
              <w:left w:val="nil"/>
              <w:bottom w:val="nil"/>
              <w:right w:val="nil"/>
            </w:tcBorders>
            <w:shd w:val="clear" w:color="auto" w:fill="auto"/>
            <w:noWrap/>
            <w:vAlign w:val="center"/>
            <w:hideMark/>
          </w:tcPr>
          <w:p w:rsidR="00752D15" w:rsidRDefault="00752D15">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752D15" w:rsidRDefault="00752D15">
            <w:pPr>
              <w:rPr>
                <w:rFonts w:ascii="宋体" w:eastAsia="宋体" w:hAnsi="宋体" w:cs="宋体"/>
                <w:color w:val="000000"/>
                <w:sz w:val="22"/>
              </w:rPr>
            </w:pPr>
          </w:p>
        </w:tc>
      </w:tr>
      <w:tr w:rsidR="00752D15" w:rsidTr="00752D15">
        <w:trPr>
          <w:trHeight w:val="1080"/>
        </w:trPr>
        <w:tc>
          <w:tcPr>
            <w:tcW w:w="8240" w:type="dxa"/>
            <w:gridSpan w:val="3"/>
            <w:tcBorders>
              <w:top w:val="nil"/>
              <w:left w:val="nil"/>
              <w:bottom w:val="nil"/>
              <w:right w:val="nil"/>
            </w:tcBorders>
            <w:shd w:val="clear" w:color="auto" w:fill="auto"/>
            <w:vAlign w:val="center"/>
            <w:hideMark/>
          </w:tcPr>
          <w:p w:rsidR="00752D15" w:rsidRDefault="00752D15">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752D15" w:rsidTr="00752D15">
        <w:trPr>
          <w:trHeight w:val="570"/>
        </w:trPr>
        <w:tc>
          <w:tcPr>
            <w:tcW w:w="8240" w:type="dxa"/>
            <w:gridSpan w:val="3"/>
            <w:tcBorders>
              <w:top w:val="nil"/>
              <w:left w:val="nil"/>
              <w:bottom w:val="nil"/>
              <w:right w:val="nil"/>
            </w:tcBorders>
            <w:shd w:val="clear" w:color="auto" w:fill="auto"/>
            <w:vAlign w:val="center"/>
            <w:hideMark/>
          </w:tcPr>
          <w:p w:rsidR="00752D15" w:rsidRDefault="00752D15">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6F0A3C">
              <w:rPr>
                <w:rFonts w:hint="eastAsia"/>
                <w:color w:val="000000"/>
                <w:sz w:val="22"/>
              </w:rPr>
              <w:t>5.50</w:t>
            </w:r>
            <w:r>
              <w:rPr>
                <w:rFonts w:hint="eastAsia"/>
                <w:color w:val="000000"/>
                <w:sz w:val="22"/>
              </w:rPr>
              <w:t>%</w:t>
            </w:r>
          </w:p>
        </w:tc>
      </w:tr>
      <w:tr w:rsidR="00752D15" w:rsidTr="00752D15">
        <w:trPr>
          <w:trHeight w:val="270"/>
        </w:trPr>
        <w:tc>
          <w:tcPr>
            <w:tcW w:w="0" w:type="auto"/>
            <w:gridSpan w:val="3"/>
            <w:tcBorders>
              <w:top w:val="nil"/>
              <w:left w:val="nil"/>
              <w:bottom w:val="nil"/>
              <w:right w:val="nil"/>
            </w:tcBorders>
            <w:shd w:val="clear" w:color="auto" w:fill="auto"/>
            <w:noWrap/>
            <w:vAlign w:val="center"/>
            <w:hideMark/>
          </w:tcPr>
          <w:p w:rsidR="00752D15" w:rsidRDefault="00752D15">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752D15" w:rsidTr="00752D15">
        <w:trPr>
          <w:trHeight w:val="270"/>
        </w:trPr>
        <w:tc>
          <w:tcPr>
            <w:tcW w:w="0" w:type="auto"/>
            <w:tcBorders>
              <w:top w:val="nil"/>
              <w:left w:val="nil"/>
              <w:bottom w:val="nil"/>
              <w:right w:val="nil"/>
            </w:tcBorders>
            <w:shd w:val="clear" w:color="auto" w:fill="auto"/>
            <w:noWrap/>
            <w:vAlign w:val="center"/>
            <w:hideMark/>
          </w:tcPr>
          <w:p w:rsidR="00752D15" w:rsidRDefault="00752D15">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752D15" w:rsidRDefault="00752D1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752D15" w:rsidRDefault="00752D15">
            <w:pPr>
              <w:rPr>
                <w:rFonts w:ascii="宋体" w:eastAsia="宋体" w:hAnsi="宋体" w:cs="宋体"/>
                <w:color w:val="000000"/>
                <w:sz w:val="22"/>
              </w:rPr>
            </w:pPr>
          </w:p>
        </w:tc>
      </w:tr>
      <w:tr w:rsidR="00752D15" w:rsidTr="00752D15">
        <w:trPr>
          <w:trHeight w:val="270"/>
        </w:trPr>
        <w:tc>
          <w:tcPr>
            <w:tcW w:w="8240" w:type="dxa"/>
            <w:gridSpan w:val="3"/>
            <w:tcBorders>
              <w:top w:val="nil"/>
              <w:left w:val="nil"/>
              <w:bottom w:val="nil"/>
              <w:right w:val="nil"/>
            </w:tcBorders>
            <w:shd w:val="clear" w:color="auto" w:fill="auto"/>
            <w:vAlign w:val="center"/>
            <w:hideMark/>
          </w:tcPr>
          <w:p w:rsidR="00752D15" w:rsidRDefault="00752D15">
            <w:pPr>
              <w:rPr>
                <w:rFonts w:ascii="宋体" w:eastAsia="宋体" w:hAnsi="宋体" w:cs="宋体"/>
                <w:color w:val="000000"/>
                <w:sz w:val="22"/>
              </w:rPr>
            </w:pPr>
            <w:r>
              <w:rPr>
                <w:rFonts w:hint="eastAsia"/>
                <w:color w:val="000000"/>
                <w:sz w:val="22"/>
              </w:rPr>
              <w:t xml:space="preserve">    </w:t>
            </w:r>
            <w:r>
              <w:rPr>
                <w:rFonts w:hint="eastAsia"/>
                <w:color w:val="000000"/>
                <w:sz w:val="22"/>
              </w:rPr>
              <w:t>本理财计划成立，投资者持有至到期。</w:t>
            </w:r>
          </w:p>
        </w:tc>
      </w:tr>
      <w:tr w:rsidR="00752D15" w:rsidTr="00752D15">
        <w:trPr>
          <w:trHeight w:val="1125"/>
        </w:trPr>
        <w:tc>
          <w:tcPr>
            <w:tcW w:w="8240" w:type="dxa"/>
            <w:gridSpan w:val="3"/>
            <w:tcBorders>
              <w:top w:val="nil"/>
              <w:left w:val="nil"/>
              <w:bottom w:val="nil"/>
              <w:right w:val="nil"/>
            </w:tcBorders>
            <w:shd w:val="clear" w:color="auto" w:fill="auto"/>
            <w:vAlign w:val="center"/>
            <w:hideMark/>
          </w:tcPr>
          <w:p w:rsidR="00752D15" w:rsidRDefault="00752D15" w:rsidP="006F0A3C">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60</w:t>
            </w:r>
            <w:r>
              <w:rPr>
                <w:rFonts w:hint="eastAsia"/>
                <w:color w:val="000000"/>
                <w:sz w:val="22"/>
              </w:rPr>
              <w:t>天，客户预期最高年化收益率为</w:t>
            </w:r>
            <w:r w:rsidR="006F0A3C">
              <w:rPr>
                <w:rFonts w:hint="eastAsia"/>
                <w:color w:val="000000"/>
                <w:sz w:val="22"/>
              </w:rPr>
              <w:t>5.50</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6F0A3C">
              <w:rPr>
                <w:rFonts w:hint="eastAsia"/>
                <w:color w:val="000000"/>
                <w:sz w:val="22"/>
              </w:rPr>
              <w:t>5.50</w:t>
            </w:r>
            <w:r>
              <w:rPr>
                <w:rFonts w:hint="eastAsia"/>
                <w:color w:val="000000"/>
                <w:sz w:val="22"/>
              </w:rPr>
              <w:t>%</w:t>
            </w:r>
            <w:r>
              <w:rPr>
                <w:rFonts w:hint="eastAsia"/>
                <w:color w:val="000000"/>
                <w:sz w:val="22"/>
              </w:rPr>
              <w:t>×</w:t>
            </w:r>
            <w:r w:rsidR="006F0A3C">
              <w:rPr>
                <w:rFonts w:hint="eastAsia"/>
                <w:color w:val="000000"/>
                <w:sz w:val="22"/>
              </w:rPr>
              <w:t>60/365 =9,041.10</w:t>
            </w:r>
            <w:r>
              <w:rPr>
                <w:rFonts w:hint="eastAsia"/>
                <w:color w:val="000000"/>
                <w:sz w:val="22"/>
              </w:rPr>
              <w:t>元。</w:t>
            </w:r>
          </w:p>
        </w:tc>
      </w:tr>
      <w:tr w:rsidR="00752D15" w:rsidTr="00752D15">
        <w:trPr>
          <w:trHeight w:val="885"/>
        </w:trPr>
        <w:tc>
          <w:tcPr>
            <w:tcW w:w="8240" w:type="dxa"/>
            <w:gridSpan w:val="3"/>
            <w:tcBorders>
              <w:top w:val="nil"/>
              <w:left w:val="nil"/>
              <w:bottom w:val="nil"/>
              <w:right w:val="nil"/>
            </w:tcBorders>
            <w:shd w:val="clear" w:color="auto" w:fill="auto"/>
            <w:vAlign w:val="center"/>
            <w:hideMark/>
          </w:tcPr>
          <w:p w:rsidR="00752D15" w:rsidRDefault="00752D15">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6F0A3C">
              <w:rPr>
                <w:rFonts w:hint="eastAsia"/>
                <w:color w:val="000000"/>
                <w:sz w:val="22"/>
              </w:rPr>
              <w:t>5.50</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752D15" w:rsidTr="00752D15">
        <w:trPr>
          <w:trHeight w:val="270"/>
        </w:trPr>
        <w:tc>
          <w:tcPr>
            <w:tcW w:w="0" w:type="auto"/>
            <w:gridSpan w:val="3"/>
            <w:tcBorders>
              <w:top w:val="nil"/>
              <w:left w:val="nil"/>
              <w:bottom w:val="nil"/>
              <w:right w:val="nil"/>
            </w:tcBorders>
            <w:shd w:val="clear" w:color="auto" w:fill="auto"/>
            <w:noWrap/>
            <w:vAlign w:val="center"/>
            <w:hideMark/>
          </w:tcPr>
          <w:p w:rsidR="00752D15" w:rsidRDefault="00752D15">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752D15" w:rsidTr="00752D15">
        <w:trPr>
          <w:trHeight w:val="270"/>
        </w:trPr>
        <w:tc>
          <w:tcPr>
            <w:tcW w:w="0" w:type="auto"/>
            <w:tcBorders>
              <w:top w:val="nil"/>
              <w:left w:val="nil"/>
              <w:bottom w:val="nil"/>
              <w:right w:val="nil"/>
            </w:tcBorders>
            <w:shd w:val="clear" w:color="auto" w:fill="auto"/>
            <w:noWrap/>
            <w:vAlign w:val="center"/>
            <w:hideMark/>
          </w:tcPr>
          <w:p w:rsidR="00752D15" w:rsidRDefault="00752D15">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752D15" w:rsidRDefault="00752D1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752D15" w:rsidRDefault="00752D15">
            <w:pPr>
              <w:rPr>
                <w:rFonts w:ascii="宋体" w:eastAsia="宋体" w:hAnsi="宋体" w:cs="宋体"/>
                <w:color w:val="000000"/>
                <w:sz w:val="22"/>
              </w:rPr>
            </w:pPr>
          </w:p>
        </w:tc>
      </w:tr>
      <w:tr w:rsidR="00752D15" w:rsidTr="00752D15">
        <w:trPr>
          <w:trHeight w:val="2475"/>
        </w:trPr>
        <w:tc>
          <w:tcPr>
            <w:tcW w:w="8240" w:type="dxa"/>
            <w:gridSpan w:val="3"/>
            <w:tcBorders>
              <w:top w:val="nil"/>
              <w:left w:val="nil"/>
              <w:bottom w:val="nil"/>
              <w:right w:val="nil"/>
            </w:tcBorders>
            <w:shd w:val="clear" w:color="auto" w:fill="auto"/>
            <w:vAlign w:val="center"/>
            <w:hideMark/>
          </w:tcPr>
          <w:p w:rsidR="00752D15" w:rsidRDefault="00752D15">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752D15" w:rsidTr="00752D15">
        <w:trPr>
          <w:trHeight w:val="210"/>
        </w:trPr>
        <w:tc>
          <w:tcPr>
            <w:tcW w:w="2260" w:type="dxa"/>
            <w:tcBorders>
              <w:top w:val="nil"/>
              <w:left w:val="nil"/>
              <w:bottom w:val="nil"/>
              <w:right w:val="nil"/>
            </w:tcBorders>
            <w:shd w:val="clear" w:color="auto" w:fill="auto"/>
            <w:vAlign w:val="center"/>
            <w:hideMark/>
          </w:tcPr>
          <w:p w:rsidR="00752D15" w:rsidRDefault="00752D15">
            <w:pPr>
              <w:rPr>
                <w:rFonts w:ascii="宋体" w:eastAsia="宋体" w:hAnsi="宋体" w:cs="宋体"/>
                <w:color w:val="000000"/>
                <w:sz w:val="22"/>
              </w:rPr>
            </w:pPr>
          </w:p>
        </w:tc>
        <w:tc>
          <w:tcPr>
            <w:tcW w:w="1080" w:type="dxa"/>
            <w:tcBorders>
              <w:top w:val="nil"/>
              <w:left w:val="nil"/>
              <w:bottom w:val="nil"/>
              <w:right w:val="nil"/>
            </w:tcBorders>
            <w:shd w:val="clear" w:color="auto" w:fill="auto"/>
            <w:vAlign w:val="center"/>
            <w:hideMark/>
          </w:tcPr>
          <w:p w:rsidR="00752D15" w:rsidRDefault="00752D15">
            <w:pPr>
              <w:rPr>
                <w:rFonts w:ascii="宋体" w:eastAsia="宋体" w:hAnsi="宋体" w:cs="宋体"/>
                <w:color w:val="000000"/>
                <w:sz w:val="22"/>
              </w:rPr>
            </w:pPr>
          </w:p>
        </w:tc>
        <w:tc>
          <w:tcPr>
            <w:tcW w:w="4900" w:type="dxa"/>
            <w:tcBorders>
              <w:top w:val="nil"/>
              <w:left w:val="nil"/>
              <w:bottom w:val="nil"/>
              <w:right w:val="nil"/>
            </w:tcBorders>
            <w:shd w:val="clear" w:color="auto" w:fill="auto"/>
            <w:vAlign w:val="center"/>
            <w:hideMark/>
          </w:tcPr>
          <w:p w:rsidR="00752D15" w:rsidRDefault="00752D15">
            <w:pPr>
              <w:rPr>
                <w:rFonts w:ascii="宋体" w:eastAsia="宋体" w:hAnsi="宋体" w:cs="宋体"/>
                <w:color w:val="000000"/>
                <w:sz w:val="22"/>
              </w:rPr>
            </w:pPr>
          </w:p>
        </w:tc>
      </w:tr>
      <w:tr w:rsidR="00752D15" w:rsidTr="00752D15">
        <w:trPr>
          <w:trHeight w:val="270"/>
        </w:trPr>
        <w:tc>
          <w:tcPr>
            <w:tcW w:w="0" w:type="auto"/>
            <w:tcBorders>
              <w:top w:val="nil"/>
              <w:left w:val="nil"/>
              <w:bottom w:val="nil"/>
              <w:right w:val="nil"/>
            </w:tcBorders>
            <w:shd w:val="clear" w:color="auto" w:fill="auto"/>
            <w:noWrap/>
            <w:vAlign w:val="center"/>
            <w:hideMark/>
          </w:tcPr>
          <w:p w:rsidR="00752D15" w:rsidRDefault="00752D15">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752D15" w:rsidRDefault="00752D1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752D15" w:rsidRDefault="00752D15">
            <w:pPr>
              <w:rPr>
                <w:rFonts w:ascii="宋体" w:eastAsia="宋体" w:hAnsi="宋体" w:cs="宋体"/>
                <w:color w:val="000000"/>
                <w:sz w:val="22"/>
              </w:rPr>
            </w:pPr>
          </w:p>
        </w:tc>
      </w:tr>
      <w:tr w:rsidR="00752D15" w:rsidTr="00752D15">
        <w:trPr>
          <w:trHeight w:val="3810"/>
        </w:trPr>
        <w:tc>
          <w:tcPr>
            <w:tcW w:w="8240" w:type="dxa"/>
            <w:gridSpan w:val="3"/>
            <w:tcBorders>
              <w:top w:val="nil"/>
              <w:left w:val="nil"/>
              <w:bottom w:val="nil"/>
              <w:right w:val="nil"/>
            </w:tcBorders>
            <w:shd w:val="clear" w:color="auto" w:fill="auto"/>
            <w:vAlign w:val="center"/>
            <w:hideMark/>
          </w:tcPr>
          <w:p w:rsidR="00752D15" w:rsidRDefault="00752D15">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752D15" w:rsidTr="00752D15">
        <w:trPr>
          <w:trHeight w:val="285"/>
        </w:trPr>
        <w:tc>
          <w:tcPr>
            <w:tcW w:w="0" w:type="auto"/>
            <w:tcBorders>
              <w:top w:val="nil"/>
              <w:left w:val="nil"/>
              <w:bottom w:val="nil"/>
              <w:right w:val="nil"/>
            </w:tcBorders>
            <w:shd w:val="clear" w:color="auto" w:fill="auto"/>
            <w:noWrap/>
            <w:vAlign w:val="center"/>
            <w:hideMark/>
          </w:tcPr>
          <w:p w:rsidR="00752D15" w:rsidRDefault="00752D15">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752D15" w:rsidRDefault="00752D1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752D15" w:rsidRDefault="00752D15">
            <w:pPr>
              <w:rPr>
                <w:rFonts w:ascii="宋体" w:eastAsia="宋体" w:hAnsi="宋体" w:cs="宋体"/>
                <w:color w:val="000000"/>
                <w:sz w:val="22"/>
              </w:rPr>
            </w:pPr>
          </w:p>
        </w:tc>
      </w:tr>
      <w:tr w:rsidR="00752D15" w:rsidTr="00752D15">
        <w:trPr>
          <w:trHeight w:val="1395"/>
        </w:trPr>
        <w:tc>
          <w:tcPr>
            <w:tcW w:w="8240" w:type="dxa"/>
            <w:gridSpan w:val="3"/>
            <w:tcBorders>
              <w:top w:val="nil"/>
              <w:left w:val="nil"/>
              <w:bottom w:val="nil"/>
              <w:right w:val="nil"/>
            </w:tcBorders>
            <w:shd w:val="clear" w:color="auto" w:fill="auto"/>
            <w:vAlign w:val="center"/>
            <w:hideMark/>
          </w:tcPr>
          <w:p w:rsidR="00752D15" w:rsidRDefault="00752D15">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本理财产品有投资风险，不保证理财本金和收益，投资者应该充分认识投资风险，谨慎投资。本产品风险揭示内容详见《平安财富—专享灵活添利现金管理类</w:t>
            </w:r>
            <w:r>
              <w:rPr>
                <w:rFonts w:hint="eastAsia"/>
                <w:b/>
                <w:bCs/>
                <w:color w:val="000000"/>
                <w:sz w:val="22"/>
              </w:rPr>
              <w:t>2015</w:t>
            </w:r>
            <w:r>
              <w:rPr>
                <w:rFonts w:hint="eastAsia"/>
                <w:b/>
                <w:bCs/>
                <w:color w:val="000000"/>
                <w:sz w:val="22"/>
              </w:rPr>
              <w:t>年</w:t>
            </w:r>
            <w:r>
              <w:rPr>
                <w:rFonts w:hint="eastAsia"/>
                <w:b/>
                <w:bCs/>
                <w:color w:val="000000"/>
                <w:sz w:val="22"/>
              </w:rPr>
              <w:t>19</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752D15" w:rsidTr="00752D15">
        <w:trPr>
          <w:trHeight w:val="285"/>
        </w:trPr>
        <w:tc>
          <w:tcPr>
            <w:tcW w:w="0" w:type="auto"/>
            <w:tcBorders>
              <w:top w:val="nil"/>
              <w:left w:val="nil"/>
              <w:bottom w:val="nil"/>
              <w:right w:val="nil"/>
            </w:tcBorders>
            <w:shd w:val="clear" w:color="auto" w:fill="auto"/>
            <w:noWrap/>
            <w:vAlign w:val="center"/>
            <w:hideMark/>
          </w:tcPr>
          <w:p w:rsidR="00752D15" w:rsidRDefault="00752D15">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752D15" w:rsidRDefault="00752D1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752D15" w:rsidRDefault="00752D15">
            <w:pPr>
              <w:rPr>
                <w:rFonts w:ascii="宋体" w:eastAsia="宋体" w:hAnsi="宋体" w:cs="宋体"/>
                <w:color w:val="000000"/>
                <w:sz w:val="22"/>
              </w:rPr>
            </w:pPr>
          </w:p>
        </w:tc>
      </w:tr>
      <w:tr w:rsidR="00752D15" w:rsidTr="00752D15">
        <w:trPr>
          <w:trHeight w:val="825"/>
        </w:trPr>
        <w:tc>
          <w:tcPr>
            <w:tcW w:w="8240" w:type="dxa"/>
            <w:gridSpan w:val="3"/>
            <w:tcBorders>
              <w:top w:val="nil"/>
              <w:left w:val="nil"/>
              <w:bottom w:val="nil"/>
              <w:right w:val="nil"/>
            </w:tcBorders>
            <w:shd w:val="clear" w:color="auto" w:fill="auto"/>
            <w:vAlign w:val="center"/>
            <w:hideMark/>
          </w:tcPr>
          <w:p w:rsidR="00752D15" w:rsidRDefault="00752D15">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752D15" w:rsidTr="00752D15">
        <w:trPr>
          <w:trHeight w:val="570"/>
        </w:trPr>
        <w:tc>
          <w:tcPr>
            <w:tcW w:w="8240" w:type="dxa"/>
            <w:gridSpan w:val="3"/>
            <w:tcBorders>
              <w:top w:val="nil"/>
              <w:left w:val="nil"/>
              <w:bottom w:val="nil"/>
              <w:right w:val="nil"/>
            </w:tcBorders>
            <w:shd w:val="clear" w:color="auto" w:fill="auto"/>
            <w:vAlign w:val="center"/>
            <w:hideMark/>
          </w:tcPr>
          <w:p w:rsidR="00752D15" w:rsidRDefault="00752D15">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752D15" w:rsidTr="00752D15">
        <w:trPr>
          <w:trHeight w:val="270"/>
        </w:trPr>
        <w:tc>
          <w:tcPr>
            <w:tcW w:w="0" w:type="auto"/>
            <w:gridSpan w:val="2"/>
            <w:tcBorders>
              <w:top w:val="nil"/>
              <w:left w:val="nil"/>
              <w:bottom w:val="nil"/>
              <w:right w:val="nil"/>
            </w:tcBorders>
            <w:shd w:val="clear" w:color="auto" w:fill="auto"/>
            <w:noWrap/>
            <w:vAlign w:val="center"/>
            <w:hideMark/>
          </w:tcPr>
          <w:p w:rsidR="00752D15" w:rsidRDefault="00752D15">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752D15" w:rsidRDefault="00752D15">
            <w:pPr>
              <w:rPr>
                <w:rFonts w:ascii="宋体" w:eastAsia="宋体" w:hAnsi="宋体" w:cs="宋体"/>
                <w:color w:val="000000"/>
                <w:sz w:val="22"/>
              </w:rPr>
            </w:pPr>
          </w:p>
        </w:tc>
      </w:tr>
      <w:tr w:rsidR="00752D15" w:rsidTr="00752D15">
        <w:trPr>
          <w:trHeight w:val="270"/>
        </w:trPr>
        <w:tc>
          <w:tcPr>
            <w:tcW w:w="0" w:type="auto"/>
            <w:gridSpan w:val="3"/>
            <w:tcBorders>
              <w:top w:val="nil"/>
              <w:left w:val="nil"/>
              <w:bottom w:val="nil"/>
              <w:right w:val="nil"/>
            </w:tcBorders>
            <w:shd w:val="clear" w:color="auto" w:fill="auto"/>
            <w:noWrap/>
            <w:vAlign w:val="center"/>
            <w:hideMark/>
          </w:tcPr>
          <w:p w:rsidR="00752D15" w:rsidRDefault="00752D15">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752D15" w:rsidTr="00752D15">
        <w:trPr>
          <w:trHeight w:val="1875"/>
        </w:trPr>
        <w:tc>
          <w:tcPr>
            <w:tcW w:w="8240" w:type="dxa"/>
            <w:gridSpan w:val="3"/>
            <w:tcBorders>
              <w:top w:val="nil"/>
              <w:left w:val="nil"/>
              <w:bottom w:val="nil"/>
              <w:right w:val="nil"/>
            </w:tcBorders>
            <w:shd w:val="clear" w:color="auto" w:fill="auto"/>
            <w:vAlign w:val="center"/>
            <w:hideMark/>
          </w:tcPr>
          <w:p w:rsidR="00752D15" w:rsidRDefault="00752D15">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w:t>
            </w:r>
            <w:r>
              <w:rPr>
                <w:rFonts w:hint="eastAsia"/>
                <w:color w:val="000000"/>
                <w:sz w:val="22"/>
              </w:rPr>
              <w:lastRenderedPageBreak/>
              <w:t>者对于本理财产品的理财关系的其他情形。</w:t>
            </w:r>
          </w:p>
        </w:tc>
      </w:tr>
      <w:tr w:rsidR="00752D15" w:rsidTr="00752D15">
        <w:trPr>
          <w:trHeight w:val="270"/>
        </w:trPr>
        <w:tc>
          <w:tcPr>
            <w:tcW w:w="0" w:type="auto"/>
            <w:gridSpan w:val="2"/>
            <w:tcBorders>
              <w:top w:val="nil"/>
              <w:left w:val="nil"/>
              <w:bottom w:val="nil"/>
              <w:right w:val="nil"/>
            </w:tcBorders>
            <w:shd w:val="clear" w:color="auto" w:fill="auto"/>
            <w:noWrap/>
            <w:vAlign w:val="center"/>
            <w:hideMark/>
          </w:tcPr>
          <w:p w:rsidR="00752D15" w:rsidRDefault="00752D15">
            <w:pPr>
              <w:rPr>
                <w:rFonts w:ascii="宋体" w:eastAsia="宋体" w:hAnsi="宋体" w:cs="宋体"/>
                <w:b/>
                <w:bCs/>
                <w:color w:val="000000"/>
                <w:szCs w:val="21"/>
              </w:rPr>
            </w:pPr>
            <w:r>
              <w:rPr>
                <w:rFonts w:hint="eastAsia"/>
                <w:b/>
                <w:bCs/>
                <w:color w:val="000000"/>
                <w:szCs w:val="21"/>
              </w:rPr>
              <w:lastRenderedPageBreak/>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752D15" w:rsidRDefault="00752D15">
            <w:pPr>
              <w:rPr>
                <w:rFonts w:ascii="宋体" w:eastAsia="宋体" w:hAnsi="宋体" w:cs="宋体"/>
                <w:color w:val="000000"/>
                <w:sz w:val="22"/>
              </w:rPr>
            </w:pPr>
          </w:p>
        </w:tc>
      </w:tr>
      <w:tr w:rsidR="00752D15" w:rsidTr="00752D15">
        <w:trPr>
          <w:trHeight w:val="3015"/>
        </w:trPr>
        <w:tc>
          <w:tcPr>
            <w:tcW w:w="8240" w:type="dxa"/>
            <w:gridSpan w:val="3"/>
            <w:tcBorders>
              <w:top w:val="nil"/>
              <w:left w:val="nil"/>
              <w:bottom w:val="nil"/>
              <w:right w:val="nil"/>
            </w:tcBorders>
            <w:shd w:val="clear" w:color="auto" w:fill="auto"/>
            <w:vAlign w:val="center"/>
            <w:hideMark/>
          </w:tcPr>
          <w:p w:rsidR="00752D15" w:rsidRDefault="00752D15">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752D15" w:rsidTr="00752D15">
        <w:trPr>
          <w:trHeight w:val="285"/>
        </w:trPr>
        <w:tc>
          <w:tcPr>
            <w:tcW w:w="0" w:type="auto"/>
            <w:tcBorders>
              <w:top w:val="nil"/>
              <w:left w:val="nil"/>
              <w:bottom w:val="nil"/>
              <w:right w:val="nil"/>
            </w:tcBorders>
            <w:shd w:val="clear" w:color="auto" w:fill="auto"/>
            <w:noWrap/>
            <w:vAlign w:val="center"/>
            <w:hideMark/>
          </w:tcPr>
          <w:p w:rsidR="00752D15" w:rsidRDefault="00752D15">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752D15" w:rsidRDefault="00752D1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752D15" w:rsidRDefault="00752D15">
            <w:pPr>
              <w:rPr>
                <w:rFonts w:ascii="宋体" w:eastAsia="宋体" w:hAnsi="宋体" w:cs="宋体"/>
                <w:color w:val="000000"/>
                <w:sz w:val="22"/>
              </w:rPr>
            </w:pPr>
          </w:p>
        </w:tc>
      </w:tr>
      <w:tr w:rsidR="00752D15" w:rsidTr="00752D15">
        <w:trPr>
          <w:trHeight w:val="3660"/>
        </w:trPr>
        <w:tc>
          <w:tcPr>
            <w:tcW w:w="8240" w:type="dxa"/>
            <w:gridSpan w:val="3"/>
            <w:tcBorders>
              <w:top w:val="nil"/>
              <w:left w:val="nil"/>
              <w:bottom w:val="nil"/>
              <w:right w:val="nil"/>
            </w:tcBorders>
            <w:shd w:val="clear" w:color="auto" w:fill="auto"/>
            <w:vAlign w:val="center"/>
            <w:hideMark/>
          </w:tcPr>
          <w:p w:rsidR="00752D15" w:rsidRDefault="00752D15">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752D15" w:rsidTr="00752D15">
        <w:trPr>
          <w:trHeight w:val="525"/>
        </w:trPr>
        <w:tc>
          <w:tcPr>
            <w:tcW w:w="8240" w:type="dxa"/>
            <w:gridSpan w:val="3"/>
            <w:tcBorders>
              <w:top w:val="nil"/>
              <w:left w:val="nil"/>
              <w:bottom w:val="nil"/>
              <w:right w:val="nil"/>
            </w:tcBorders>
            <w:shd w:val="clear" w:color="auto" w:fill="auto"/>
            <w:vAlign w:val="center"/>
            <w:hideMark/>
          </w:tcPr>
          <w:p w:rsidR="00752D15" w:rsidRDefault="00752D15">
            <w:pPr>
              <w:jc w:val="center"/>
              <w:rPr>
                <w:rFonts w:ascii="宋体" w:eastAsia="宋体" w:hAnsi="宋体" w:cs="宋体"/>
                <w:color w:val="000000"/>
                <w:sz w:val="22"/>
              </w:rPr>
            </w:pPr>
            <w:r>
              <w:rPr>
                <w:rFonts w:hint="eastAsia"/>
                <w:color w:val="000000"/>
                <w:sz w:val="22"/>
              </w:rPr>
              <w:t>―――――――――――――――――――――――――――――――――――――</w:t>
            </w:r>
          </w:p>
        </w:tc>
      </w:tr>
      <w:tr w:rsidR="00752D15" w:rsidTr="00752D15">
        <w:trPr>
          <w:trHeight w:val="855"/>
        </w:trPr>
        <w:tc>
          <w:tcPr>
            <w:tcW w:w="8240" w:type="dxa"/>
            <w:gridSpan w:val="3"/>
            <w:tcBorders>
              <w:top w:val="nil"/>
              <w:left w:val="nil"/>
              <w:bottom w:val="nil"/>
              <w:right w:val="nil"/>
            </w:tcBorders>
            <w:shd w:val="clear" w:color="auto" w:fill="auto"/>
            <w:vAlign w:val="center"/>
            <w:hideMark/>
          </w:tcPr>
          <w:p w:rsidR="00752D15" w:rsidRDefault="00752D15">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本产品投资人已阅读并领取《平安财富—专享灵活添利现金管理类</w:t>
            </w:r>
            <w:r>
              <w:rPr>
                <w:rFonts w:hint="eastAsia"/>
                <w:b/>
                <w:bCs/>
                <w:color w:val="000000"/>
                <w:sz w:val="22"/>
              </w:rPr>
              <w:t>2015</w:t>
            </w:r>
            <w:r>
              <w:rPr>
                <w:rFonts w:hint="eastAsia"/>
                <w:b/>
                <w:bCs/>
                <w:color w:val="000000"/>
                <w:sz w:val="22"/>
              </w:rPr>
              <w:t>年</w:t>
            </w:r>
            <w:r>
              <w:rPr>
                <w:rFonts w:hint="eastAsia"/>
                <w:b/>
                <w:bCs/>
                <w:color w:val="000000"/>
                <w:sz w:val="22"/>
              </w:rPr>
              <w:t>19</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752D15" w:rsidTr="00752D15">
        <w:trPr>
          <w:trHeight w:val="285"/>
        </w:trPr>
        <w:tc>
          <w:tcPr>
            <w:tcW w:w="0" w:type="auto"/>
            <w:tcBorders>
              <w:top w:val="nil"/>
              <w:left w:val="nil"/>
              <w:bottom w:val="nil"/>
              <w:right w:val="nil"/>
            </w:tcBorders>
            <w:shd w:val="clear" w:color="auto" w:fill="auto"/>
            <w:noWrap/>
            <w:vAlign w:val="center"/>
            <w:hideMark/>
          </w:tcPr>
          <w:p w:rsidR="00752D15" w:rsidRDefault="00752D15">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752D15" w:rsidRDefault="00752D1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752D15" w:rsidRDefault="00752D15">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752D15" w:rsidTr="00752D15">
        <w:trPr>
          <w:trHeight w:val="270"/>
        </w:trPr>
        <w:tc>
          <w:tcPr>
            <w:tcW w:w="0" w:type="auto"/>
            <w:tcBorders>
              <w:top w:val="nil"/>
              <w:left w:val="nil"/>
              <w:bottom w:val="nil"/>
              <w:right w:val="nil"/>
            </w:tcBorders>
            <w:shd w:val="clear" w:color="auto" w:fill="auto"/>
            <w:noWrap/>
            <w:vAlign w:val="center"/>
            <w:hideMark/>
          </w:tcPr>
          <w:p w:rsidR="00752D15" w:rsidRDefault="00752D1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752D15" w:rsidRDefault="00752D1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752D15" w:rsidRDefault="00752D15">
            <w:pPr>
              <w:rPr>
                <w:rFonts w:ascii="宋体" w:eastAsia="宋体" w:hAnsi="宋体" w:cs="宋体"/>
                <w:color w:val="000000"/>
                <w:sz w:val="22"/>
              </w:rPr>
            </w:pPr>
          </w:p>
        </w:tc>
      </w:tr>
      <w:tr w:rsidR="00752D15" w:rsidTr="00752D15">
        <w:trPr>
          <w:trHeight w:val="270"/>
        </w:trPr>
        <w:tc>
          <w:tcPr>
            <w:tcW w:w="0" w:type="auto"/>
            <w:tcBorders>
              <w:top w:val="nil"/>
              <w:left w:val="nil"/>
              <w:bottom w:val="nil"/>
              <w:right w:val="nil"/>
            </w:tcBorders>
            <w:shd w:val="clear" w:color="auto" w:fill="auto"/>
            <w:noWrap/>
            <w:vAlign w:val="center"/>
            <w:hideMark/>
          </w:tcPr>
          <w:p w:rsidR="00752D15" w:rsidRDefault="00752D1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752D15" w:rsidRDefault="00752D1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752D15" w:rsidRDefault="00752D15">
            <w:pPr>
              <w:rPr>
                <w:rFonts w:ascii="宋体" w:eastAsia="宋体" w:hAnsi="宋体" w:cs="宋体"/>
                <w:color w:val="000000"/>
                <w:sz w:val="22"/>
              </w:rPr>
            </w:pPr>
          </w:p>
        </w:tc>
      </w:tr>
      <w:tr w:rsidR="00752D15" w:rsidTr="00752D15">
        <w:trPr>
          <w:trHeight w:val="270"/>
        </w:trPr>
        <w:tc>
          <w:tcPr>
            <w:tcW w:w="0" w:type="auto"/>
            <w:tcBorders>
              <w:top w:val="nil"/>
              <w:left w:val="nil"/>
              <w:bottom w:val="nil"/>
              <w:right w:val="nil"/>
            </w:tcBorders>
            <w:shd w:val="clear" w:color="auto" w:fill="auto"/>
            <w:noWrap/>
            <w:vAlign w:val="center"/>
            <w:hideMark/>
          </w:tcPr>
          <w:p w:rsidR="00752D15" w:rsidRDefault="00752D1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752D15" w:rsidRDefault="00752D1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752D15" w:rsidRDefault="00752D15">
            <w:pPr>
              <w:rPr>
                <w:rFonts w:ascii="宋体" w:eastAsia="宋体" w:hAnsi="宋体" w:cs="宋体"/>
                <w:color w:val="000000"/>
                <w:sz w:val="22"/>
              </w:rPr>
            </w:pPr>
          </w:p>
        </w:tc>
      </w:tr>
      <w:tr w:rsidR="00752D15" w:rsidTr="00752D15">
        <w:trPr>
          <w:trHeight w:val="270"/>
        </w:trPr>
        <w:tc>
          <w:tcPr>
            <w:tcW w:w="0" w:type="auto"/>
            <w:tcBorders>
              <w:top w:val="nil"/>
              <w:left w:val="nil"/>
              <w:bottom w:val="nil"/>
              <w:right w:val="nil"/>
            </w:tcBorders>
            <w:shd w:val="clear" w:color="auto" w:fill="auto"/>
            <w:noWrap/>
            <w:vAlign w:val="center"/>
            <w:hideMark/>
          </w:tcPr>
          <w:p w:rsidR="00752D15" w:rsidRDefault="00752D1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752D15" w:rsidRDefault="00752D1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752D15" w:rsidRDefault="00752D15">
            <w:pPr>
              <w:rPr>
                <w:rFonts w:ascii="宋体" w:eastAsia="宋体" w:hAnsi="宋体" w:cs="宋体"/>
                <w:color w:val="000000"/>
                <w:sz w:val="22"/>
              </w:rPr>
            </w:pPr>
          </w:p>
        </w:tc>
      </w:tr>
    </w:tbl>
    <w:p w:rsidR="004F013B" w:rsidRDefault="004F013B"/>
    <w:sectPr w:rsidR="004F013B" w:rsidSect="004F013B">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0DC8" w:rsidRDefault="00EB0DC8" w:rsidP="006F0A3C">
      <w:r>
        <w:separator/>
      </w:r>
    </w:p>
  </w:endnote>
  <w:endnote w:type="continuationSeparator" w:id="0">
    <w:p w:rsidR="00EB0DC8" w:rsidRDefault="00EB0DC8" w:rsidP="006F0A3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0DC8" w:rsidRDefault="00EB0DC8" w:rsidP="006F0A3C">
      <w:r>
        <w:separator/>
      </w:r>
    </w:p>
  </w:footnote>
  <w:footnote w:type="continuationSeparator" w:id="0">
    <w:p w:rsidR="00EB0DC8" w:rsidRDefault="00EB0DC8" w:rsidP="006F0A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0A3C" w:rsidRPr="006F0A3C" w:rsidRDefault="006F0A3C" w:rsidP="006F0A3C">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w:t>
    </w:r>
    <w:r>
      <w:rPr>
        <w:rFonts w:ascii="宋体" w:hAnsi="宋体" w:hint="eastAsia"/>
      </w:rPr>
      <w:t>0</w:t>
    </w:r>
    <w:r w:rsidR="00964DFC">
      <w:rPr>
        <w:rFonts w:ascii="宋体" w:hAnsi="宋体" w:hint="eastAsia"/>
      </w:rPr>
      <w:t>0243</w:t>
    </w:r>
  </w:p>
  <w:p w:rsidR="006F0A3C" w:rsidRDefault="006F0A3C">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921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52D15"/>
    <w:rsid w:val="00097CBF"/>
    <w:rsid w:val="000F6D0F"/>
    <w:rsid w:val="004F013B"/>
    <w:rsid w:val="00607393"/>
    <w:rsid w:val="006F0A3C"/>
    <w:rsid w:val="00733729"/>
    <w:rsid w:val="00752D15"/>
    <w:rsid w:val="009466B7"/>
    <w:rsid w:val="00964DFC"/>
    <w:rsid w:val="00A64954"/>
    <w:rsid w:val="00EB0DC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013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F0A3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6F0A3C"/>
    <w:rPr>
      <w:sz w:val="18"/>
      <w:szCs w:val="18"/>
    </w:rPr>
  </w:style>
  <w:style w:type="paragraph" w:styleId="a4">
    <w:name w:val="footer"/>
    <w:basedOn w:val="a"/>
    <w:link w:val="Char0"/>
    <w:uiPriority w:val="99"/>
    <w:semiHidden/>
    <w:unhideWhenUsed/>
    <w:rsid w:val="006F0A3C"/>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6F0A3C"/>
    <w:rPr>
      <w:sz w:val="18"/>
      <w:szCs w:val="18"/>
    </w:rPr>
  </w:style>
  <w:style w:type="paragraph" w:styleId="a5">
    <w:name w:val="Balloon Text"/>
    <w:basedOn w:val="a"/>
    <w:link w:val="Char1"/>
    <w:uiPriority w:val="99"/>
    <w:semiHidden/>
    <w:unhideWhenUsed/>
    <w:rsid w:val="006F0A3C"/>
    <w:rPr>
      <w:sz w:val="18"/>
      <w:szCs w:val="18"/>
    </w:rPr>
  </w:style>
  <w:style w:type="character" w:customStyle="1" w:styleId="Char1">
    <w:name w:val="批注框文本 Char"/>
    <w:basedOn w:val="a0"/>
    <w:link w:val="a5"/>
    <w:uiPriority w:val="99"/>
    <w:semiHidden/>
    <w:rsid w:val="006F0A3C"/>
    <w:rPr>
      <w:sz w:val="18"/>
      <w:szCs w:val="18"/>
    </w:rPr>
  </w:style>
</w:styles>
</file>

<file path=word/webSettings.xml><?xml version="1.0" encoding="utf-8"?>
<w:webSettings xmlns:r="http://schemas.openxmlformats.org/officeDocument/2006/relationships" xmlns:w="http://schemas.openxmlformats.org/wordprocessingml/2006/main">
  <w:divs>
    <w:div w:id="1497111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822</Words>
  <Characters>4686</Characters>
  <Application>Microsoft Office Word</Application>
  <DocSecurity>0</DocSecurity>
  <Lines>39</Lines>
  <Paragraphs>10</Paragraphs>
  <ScaleCrop>false</ScaleCrop>
  <Company>sdb</Company>
  <LinksUpToDate>false</LinksUpToDate>
  <CharactersWithSpaces>5498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4</cp:revision>
  <dcterms:created xsi:type="dcterms:W3CDTF">2015-01-06T06:28:00Z</dcterms:created>
  <dcterms:modified xsi:type="dcterms:W3CDTF">2015-01-28T02:47:00Z</dcterms:modified>
</cp:coreProperties>
</file>