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396" w:rsidRPr="0020432E" w:rsidRDefault="00692396" w:rsidP="00692396">
      <w:pPr>
        <w:spacing w:line="180" w:lineRule="auto"/>
        <w:rPr>
          <w:rFonts w:ascii="华文细黑" w:eastAsia="华文细黑" w:hAnsi="华文细黑" w:hint="eastAsia"/>
          <w:b/>
          <w:kern w:val="0"/>
          <w:sz w:val="22"/>
        </w:rPr>
      </w:pPr>
      <w:r w:rsidRPr="0020432E">
        <w:rPr>
          <w:rFonts w:ascii="华文细黑" w:eastAsia="华文细黑" w:hAnsi="华文细黑" w:hint="eastAsia"/>
          <w:b/>
          <w:kern w:val="0"/>
          <w:sz w:val="22"/>
        </w:rPr>
        <w:t>附件三：委托人风险揭示书</w:t>
      </w:r>
    </w:p>
    <w:p w:rsidR="00692396" w:rsidRPr="0020432E" w:rsidRDefault="00692396" w:rsidP="00692396">
      <w:pPr>
        <w:spacing w:line="360" w:lineRule="auto"/>
        <w:ind w:firstLine="720"/>
        <w:jc w:val="center"/>
        <w:rPr>
          <w:rFonts w:ascii="黑体" w:eastAsia="黑体" w:hAnsi="黑体" w:hint="eastAsia"/>
          <w:bCs/>
          <w:sz w:val="28"/>
          <w:szCs w:val="36"/>
        </w:rPr>
      </w:pPr>
      <w:r w:rsidRPr="0020432E">
        <w:rPr>
          <w:rFonts w:ascii="黑体" w:eastAsia="黑体" w:hAnsi="黑体" w:hint="eastAsia"/>
          <w:bCs/>
          <w:sz w:val="28"/>
          <w:szCs w:val="36"/>
        </w:rPr>
        <w:t>委托人风险揭示书</w:t>
      </w:r>
    </w:p>
    <w:p w:rsidR="00692396" w:rsidRPr="0020432E" w:rsidRDefault="00692396" w:rsidP="00692396">
      <w:pPr>
        <w:spacing w:line="360" w:lineRule="auto"/>
        <w:ind w:firstLineChars="200" w:firstLine="480"/>
        <w:rPr>
          <w:rFonts w:ascii="仿宋_GB2312" w:hAnsi="宋体" w:hint="eastAsia"/>
          <w:sz w:val="24"/>
          <w:szCs w:val="32"/>
        </w:rPr>
      </w:pPr>
      <w:r w:rsidRPr="0020432E">
        <w:rPr>
          <w:rFonts w:ascii="仿宋_GB2312" w:hAnsi="宋体" w:hint="eastAsia"/>
          <w:sz w:val="24"/>
          <w:szCs w:val="32"/>
        </w:rPr>
        <w:t>委托人应当认真阅读《平安养老金橙养老保障管理产品合同》和《平安养老金橙养老保障管理产品投资组合账户说明书》等文件，了解所参加组合的投资理念、投资目标、风险收益特征，并根据自身的投资目的、封闭期限、投资经验、资产状况等判断所选择的投资组合是否与委托人的风险承受能力相适应。</w:t>
      </w:r>
    </w:p>
    <w:p w:rsidR="00692396" w:rsidRPr="0020432E" w:rsidRDefault="00692396" w:rsidP="00692396">
      <w:pPr>
        <w:spacing w:line="360" w:lineRule="auto"/>
        <w:ind w:firstLineChars="200" w:firstLine="480"/>
        <w:rPr>
          <w:rFonts w:ascii="仿宋_GB2312" w:hAnsi="宋体" w:hint="eastAsia"/>
          <w:sz w:val="24"/>
          <w:szCs w:val="32"/>
        </w:rPr>
      </w:pPr>
      <w:r w:rsidRPr="0020432E">
        <w:rPr>
          <w:rFonts w:ascii="仿宋_GB2312" w:hAnsi="宋体" w:hint="eastAsia"/>
          <w:sz w:val="24"/>
          <w:szCs w:val="32"/>
        </w:rPr>
        <w:t>本产品在投资运作过程中可能面临各种风险，包括但不限于市场风险、信用风险、利率风险、流动性风险以及战争、自然灾害等不可抗力导致的养老保障管理基金损失。</w:t>
      </w:r>
    </w:p>
    <w:p w:rsidR="00692396" w:rsidRPr="0020432E" w:rsidRDefault="00692396" w:rsidP="00692396">
      <w:pPr>
        <w:spacing w:line="360" w:lineRule="auto"/>
        <w:ind w:firstLineChars="200" w:firstLine="480"/>
        <w:rPr>
          <w:rFonts w:ascii="仿宋_GB2312" w:hAnsi="宋体" w:hint="eastAsia"/>
          <w:sz w:val="24"/>
          <w:szCs w:val="32"/>
        </w:rPr>
      </w:pPr>
      <w:r w:rsidRPr="0020432E">
        <w:rPr>
          <w:rFonts w:ascii="仿宋_GB2312" w:hAnsi="宋体" w:hint="eastAsia"/>
          <w:sz w:val="24"/>
          <w:szCs w:val="32"/>
        </w:rPr>
        <w:t>主要风险说明如下：</w:t>
      </w:r>
    </w:p>
    <w:p w:rsidR="00692396" w:rsidRPr="0020432E" w:rsidRDefault="00692396" w:rsidP="00692396">
      <w:pPr>
        <w:spacing w:line="360" w:lineRule="auto"/>
        <w:ind w:firstLineChars="200" w:firstLine="480"/>
        <w:rPr>
          <w:rFonts w:ascii="仿宋_GB2312" w:hAnsi="宋体" w:hint="eastAsia"/>
          <w:sz w:val="24"/>
          <w:szCs w:val="32"/>
        </w:rPr>
      </w:pPr>
      <w:r w:rsidRPr="0020432E">
        <w:rPr>
          <w:rFonts w:ascii="仿宋_GB2312" w:hAnsi="宋体" w:hint="eastAsia"/>
          <w:sz w:val="24"/>
          <w:szCs w:val="32"/>
        </w:rPr>
        <w:t>一、市场风险：本产品投资品种的市场价格因受多种因素影响而上下波动，可能导致本产品份额净值在存续期内波动或跌破面值。</w:t>
      </w:r>
    </w:p>
    <w:p w:rsidR="00692396" w:rsidRPr="0020432E" w:rsidRDefault="00692396" w:rsidP="00692396">
      <w:pPr>
        <w:spacing w:line="360" w:lineRule="auto"/>
        <w:ind w:firstLineChars="200" w:firstLine="480"/>
        <w:rPr>
          <w:rFonts w:ascii="仿宋_GB2312" w:hAnsi="宋体" w:hint="eastAsia"/>
          <w:sz w:val="24"/>
          <w:szCs w:val="32"/>
        </w:rPr>
      </w:pPr>
      <w:r w:rsidRPr="0020432E">
        <w:rPr>
          <w:rFonts w:ascii="仿宋_GB2312" w:hAnsi="宋体" w:hint="eastAsia"/>
          <w:sz w:val="24"/>
          <w:szCs w:val="32"/>
        </w:rPr>
        <w:t>二、信用风险：本产品投资标的固定收益证券，存在债券发行人不能按约定还本付息的风险，将可能导致投资者本金及收益蒙受部分或全部损失。</w:t>
      </w:r>
    </w:p>
    <w:p w:rsidR="00692396" w:rsidRPr="0020432E" w:rsidRDefault="00692396" w:rsidP="00692396">
      <w:pPr>
        <w:spacing w:line="360" w:lineRule="auto"/>
        <w:ind w:firstLineChars="200" w:firstLine="480"/>
        <w:rPr>
          <w:rFonts w:ascii="仿宋_GB2312" w:hAnsi="宋体" w:hint="eastAsia"/>
          <w:sz w:val="24"/>
          <w:szCs w:val="32"/>
        </w:rPr>
      </w:pPr>
      <w:r w:rsidRPr="0020432E">
        <w:rPr>
          <w:rFonts w:ascii="仿宋_GB2312" w:hAnsi="宋体" w:hint="eastAsia"/>
          <w:sz w:val="24"/>
          <w:szCs w:val="32"/>
        </w:rPr>
        <w:t>三、所申购的新债跌破发行价的风险：若申购的新债在上市首日或上市后持有期内跌破发行价格，将影响本产品投资收益及本金安全。</w:t>
      </w:r>
    </w:p>
    <w:p w:rsidR="00692396" w:rsidRPr="0020432E" w:rsidRDefault="00692396" w:rsidP="00692396">
      <w:pPr>
        <w:spacing w:line="360" w:lineRule="auto"/>
        <w:ind w:firstLineChars="200" w:firstLine="480"/>
        <w:rPr>
          <w:rFonts w:ascii="仿宋_GB2312" w:hAnsi="宋体" w:hint="eastAsia"/>
          <w:sz w:val="24"/>
          <w:szCs w:val="32"/>
        </w:rPr>
      </w:pPr>
      <w:r w:rsidRPr="0020432E">
        <w:rPr>
          <w:rFonts w:ascii="仿宋_GB2312" w:hAnsi="宋体" w:hint="eastAsia"/>
          <w:sz w:val="24"/>
          <w:szCs w:val="32"/>
        </w:rPr>
        <w:t>四、利率风险：利率风险是指由于利率变动而导致的资产价格和资产利息的损益。利率波动会直接影响企业的融资成本和利润水平，导致证券市场的价格和收益率的变动，使本产品收益水平随之发生变化，从而产生风险。</w:t>
      </w:r>
    </w:p>
    <w:p w:rsidR="00692396" w:rsidRPr="0020432E" w:rsidRDefault="00692396" w:rsidP="00692396">
      <w:pPr>
        <w:spacing w:line="360" w:lineRule="auto"/>
        <w:ind w:firstLineChars="200" w:firstLine="480"/>
        <w:rPr>
          <w:rFonts w:ascii="仿宋_GB2312" w:hAnsi="宋体" w:hint="eastAsia"/>
          <w:sz w:val="24"/>
          <w:szCs w:val="32"/>
        </w:rPr>
      </w:pPr>
      <w:r w:rsidRPr="0020432E">
        <w:rPr>
          <w:rFonts w:ascii="仿宋_GB2312" w:hAnsi="宋体" w:hint="eastAsia"/>
          <w:sz w:val="24"/>
          <w:szCs w:val="32"/>
        </w:rPr>
        <w:t>五、不可抗力风险：指由于自然灾害、战争等不可抗力因素的出现，将严重影响金融市场的正常运行，从而导致本产品资产收益降低或损失，甚至影响本产品的受理、投资、偿还等程序的正常进行，进而影响本产品的资金安全。“不可抗力”是指交易各方不能合理控制、不可预见或即使预见亦无法避免的事件，该事件妨碍、影响或延误任何一方根据本产品说明履行其全部或部分义务，该事件包括但不限于地震、台风、洪水、水灾、其他天灾、战争、骚乱、罢工或其他类似事件、新法规颁布或对原法规的修改等政策因素。</w:t>
      </w:r>
    </w:p>
    <w:p w:rsidR="00692396" w:rsidRDefault="00692396" w:rsidP="00692396">
      <w:pPr>
        <w:spacing w:line="360" w:lineRule="auto"/>
        <w:ind w:firstLineChars="200" w:firstLine="480"/>
        <w:rPr>
          <w:rFonts w:ascii="仿宋_GB2312" w:hAnsi="宋体" w:hint="eastAsia"/>
          <w:sz w:val="24"/>
          <w:szCs w:val="32"/>
        </w:rPr>
      </w:pPr>
      <w:r w:rsidRPr="0020432E">
        <w:rPr>
          <w:rFonts w:ascii="仿宋_GB2312" w:hAnsi="宋体" w:hint="eastAsia"/>
          <w:sz w:val="24"/>
          <w:szCs w:val="32"/>
        </w:rPr>
        <w:t>本产品经过中国保监会备案，但备案并不表明其对本产品的价值和收益作出实质性判断或保证，也不表明投资本产品没有风险。除非本产品管理人违反国家有关法律规定和合同条款约定，本产品基金在运作过程中面临的风险由委托投资</w:t>
      </w:r>
      <w:r w:rsidRPr="0020432E">
        <w:rPr>
          <w:rFonts w:ascii="仿宋_GB2312" w:hAnsi="宋体" w:hint="eastAsia"/>
          <w:sz w:val="24"/>
          <w:szCs w:val="32"/>
        </w:rPr>
        <w:lastRenderedPageBreak/>
        <w:t>资产承担。</w:t>
      </w:r>
    </w:p>
    <w:p w:rsidR="00692396" w:rsidRPr="0020432E" w:rsidRDefault="00692396" w:rsidP="00692396">
      <w:pPr>
        <w:spacing w:line="360" w:lineRule="auto"/>
        <w:ind w:firstLineChars="200" w:firstLine="480"/>
        <w:rPr>
          <w:rFonts w:ascii="仿宋_GB2312" w:hAnsi="宋体" w:hint="eastAsia"/>
          <w:sz w:val="24"/>
          <w:szCs w:val="32"/>
        </w:rPr>
      </w:pPr>
      <w:r w:rsidRPr="0020432E">
        <w:rPr>
          <w:rFonts w:ascii="仿宋_GB2312" w:hAnsi="宋体" w:hint="eastAsia"/>
          <w:sz w:val="24"/>
          <w:szCs w:val="32"/>
        </w:rPr>
        <w:t>委托人声明：</w:t>
      </w:r>
    </w:p>
    <w:p w:rsidR="00692396" w:rsidRPr="0020432E" w:rsidRDefault="00692396" w:rsidP="00692396">
      <w:pPr>
        <w:snapToGrid w:val="0"/>
        <w:spacing w:line="360" w:lineRule="auto"/>
        <w:ind w:firstLineChars="200" w:firstLine="480"/>
        <w:rPr>
          <w:rFonts w:ascii="仿宋_GB2312" w:hAnsi="宋体" w:hint="eastAsia"/>
          <w:bCs/>
          <w:sz w:val="24"/>
          <w:szCs w:val="32"/>
        </w:rPr>
      </w:pPr>
      <w:r w:rsidRPr="0020432E">
        <w:rPr>
          <w:rFonts w:ascii="仿宋_GB2312" w:hAnsi="宋体" w:hint="eastAsia"/>
          <w:bCs/>
          <w:sz w:val="24"/>
          <w:szCs w:val="32"/>
        </w:rPr>
        <w:t>委托投资资产为本人合法管理的资产，本人保证委托投资资产的来源及用途符合国家有关规定，承诺提供给管理人的所有信息资料均合法、真实、准确、完整，没有任何虚假陈述、重大遗漏和误导。</w:t>
      </w:r>
    </w:p>
    <w:p w:rsidR="00692396" w:rsidRPr="0020432E" w:rsidRDefault="00692396" w:rsidP="00692396">
      <w:pPr>
        <w:snapToGrid w:val="0"/>
        <w:spacing w:line="360" w:lineRule="auto"/>
        <w:ind w:firstLineChars="200" w:firstLine="480"/>
        <w:rPr>
          <w:rFonts w:ascii="仿宋_GB2312" w:hAnsi="宋体" w:hint="eastAsia"/>
          <w:bCs/>
          <w:sz w:val="24"/>
          <w:szCs w:val="32"/>
        </w:rPr>
      </w:pPr>
      <w:r w:rsidRPr="0020432E">
        <w:rPr>
          <w:rFonts w:ascii="仿宋_GB2312" w:hAnsi="宋体" w:hint="eastAsia"/>
          <w:bCs/>
          <w:sz w:val="24"/>
          <w:szCs w:val="32"/>
        </w:rPr>
        <w:t>在签署本合同前，</w:t>
      </w:r>
      <w:r w:rsidRPr="0020432E">
        <w:rPr>
          <w:rFonts w:ascii="仿宋_GB2312" w:hAnsi="宋体" w:hint="eastAsia"/>
          <w:sz w:val="24"/>
          <w:szCs w:val="32"/>
        </w:rPr>
        <w:t>本人已认真阅读《平安养老金橙养老保障管理产品合同》和《平安养老金橙养老保障管理产品投资组合账户说明书》和《委托人风险揭示书》及其他相关文件，</w:t>
      </w:r>
      <w:r w:rsidRPr="0020432E">
        <w:rPr>
          <w:rFonts w:ascii="仿宋_GB2312" w:hAnsi="宋体" w:hint="eastAsia"/>
          <w:bCs/>
          <w:sz w:val="24"/>
          <w:szCs w:val="32"/>
        </w:rPr>
        <w:t>同意遵守上述文件内容，</w:t>
      </w:r>
      <w:r w:rsidRPr="0020432E">
        <w:rPr>
          <w:rFonts w:ascii="仿宋_GB2312" w:hAnsi="宋体" w:hint="eastAsia"/>
          <w:sz w:val="24"/>
          <w:szCs w:val="32"/>
        </w:rPr>
        <w:t>充分了解并知晓本产品相关风险，并愿意承担相关风险。并已就此（在需要时）获取过独立的法律咨询。</w:t>
      </w:r>
    </w:p>
    <w:p w:rsidR="00692396" w:rsidRPr="0020432E" w:rsidRDefault="00692396" w:rsidP="00692396">
      <w:pPr>
        <w:spacing w:line="360" w:lineRule="auto"/>
        <w:ind w:firstLineChars="200" w:firstLine="480"/>
        <w:rPr>
          <w:rFonts w:ascii="仿宋_GB2312" w:hAnsi="宋体" w:hint="eastAsia"/>
          <w:sz w:val="24"/>
          <w:szCs w:val="32"/>
        </w:rPr>
      </w:pPr>
      <w:r w:rsidRPr="0020432E">
        <w:rPr>
          <w:rFonts w:ascii="仿宋_GB2312" w:hAnsi="宋体" w:hint="eastAsia"/>
          <w:sz w:val="24"/>
          <w:szCs w:val="32"/>
        </w:rPr>
        <w:t>特此声明！</w:t>
      </w:r>
    </w:p>
    <w:p w:rsidR="00692396" w:rsidRPr="0020432E" w:rsidRDefault="00692396" w:rsidP="00692396">
      <w:pPr>
        <w:spacing w:line="360" w:lineRule="auto"/>
        <w:rPr>
          <w:rFonts w:ascii="仿宋_GB2312" w:hAnsi="宋体" w:hint="eastAsia"/>
          <w:sz w:val="24"/>
          <w:szCs w:val="32"/>
        </w:rPr>
      </w:pPr>
    </w:p>
    <w:p w:rsidR="00692396" w:rsidRPr="0020432E" w:rsidRDefault="00692396" w:rsidP="00692396">
      <w:pPr>
        <w:wordWrap w:val="0"/>
        <w:spacing w:line="360" w:lineRule="auto"/>
        <w:jc w:val="right"/>
        <w:rPr>
          <w:rFonts w:ascii="仿宋_GB2312" w:hAnsi="宋体" w:hint="eastAsia"/>
          <w:sz w:val="24"/>
          <w:szCs w:val="32"/>
          <w:u w:val="single"/>
        </w:rPr>
      </w:pPr>
      <w:r w:rsidRPr="0020432E">
        <w:rPr>
          <w:rFonts w:ascii="仿宋_GB2312" w:hAnsi="宋体" w:hint="eastAsia"/>
          <w:sz w:val="24"/>
          <w:szCs w:val="32"/>
        </w:rPr>
        <w:t xml:space="preserve">  委托人签名：</w:t>
      </w:r>
      <w:r w:rsidRPr="0020432E">
        <w:rPr>
          <w:rFonts w:ascii="仿宋_GB2312" w:hAnsi="宋体" w:hint="eastAsia"/>
          <w:sz w:val="24"/>
          <w:szCs w:val="32"/>
          <w:u w:val="single"/>
        </w:rPr>
        <w:t xml:space="preserve">             </w:t>
      </w:r>
    </w:p>
    <w:p w:rsidR="00237E8E" w:rsidRPr="00692396" w:rsidRDefault="00237E8E"/>
    <w:sectPr w:rsidR="00237E8E" w:rsidRPr="00692396" w:rsidSect="00237E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53E" w:rsidRDefault="00E3053E" w:rsidP="00692396">
      <w:r>
        <w:separator/>
      </w:r>
    </w:p>
  </w:endnote>
  <w:endnote w:type="continuationSeparator" w:id="1">
    <w:p w:rsidR="00E3053E" w:rsidRDefault="00E3053E" w:rsidP="006923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53E" w:rsidRDefault="00E3053E" w:rsidP="00692396">
      <w:r>
        <w:separator/>
      </w:r>
    </w:p>
  </w:footnote>
  <w:footnote w:type="continuationSeparator" w:id="1">
    <w:p w:rsidR="00E3053E" w:rsidRDefault="00E3053E" w:rsidP="006923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2396"/>
    <w:rsid w:val="00237E8E"/>
    <w:rsid w:val="00692396"/>
    <w:rsid w:val="00E305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396"/>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23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92396"/>
    <w:rPr>
      <w:sz w:val="18"/>
      <w:szCs w:val="18"/>
    </w:rPr>
  </w:style>
  <w:style w:type="paragraph" w:styleId="a4">
    <w:name w:val="footer"/>
    <w:basedOn w:val="a"/>
    <w:link w:val="Char0"/>
    <w:uiPriority w:val="99"/>
    <w:semiHidden/>
    <w:unhideWhenUsed/>
    <w:rsid w:val="006923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9239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3D94C-EB96-4FA6-ACAF-A608F7A0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958</Characters>
  <Application>Microsoft Office Word</Application>
  <DocSecurity>0</DocSecurity>
  <Lines>7</Lines>
  <Paragraphs>2</Paragraphs>
  <ScaleCrop>false</ScaleCrop>
  <Company>sdb</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2013-10-10T09:58:00Z</dcterms:created>
  <dcterms:modified xsi:type="dcterms:W3CDTF">2013-10-10T09:58:00Z</dcterms:modified>
</cp:coreProperties>
</file>