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8C8" w:rsidRDefault="00021D75" w:rsidP="00CB2369">
      <w:pPr>
        <w:pStyle w:val="a9"/>
        <w:spacing w:line="540" w:lineRule="exact"/>
        <w:jc w:val="center"/>
        <w:rPr>
          <w:rFonts w:ascii="宋体" w:hAnsi="宋体"/>
          <w:b/>
          <w:color w:val="FF0000"/>
          <w:sz w:val="28"/>
          <w:szCs w:val="28"/>
          <w:u w:val="single"/>
        </w:rPr>
      </w:pPr>
      <w:r>
        <w:rPr>
          <w:rFonts w:ascii="宋体" w:hAnsi="宋体" w:hint="eastAsia"/>
          <w:b/>
          <w:sz w:val="28"/>
          <w:szCs w:val="28"/>
        </w:rPr>
        <w:t>平安财富</w:t>
      </w:r>
      <w:r>
        <w:rPr>
          <w:rFonts w:ascii="宋体" w:hAnsi="宋体" w:hint="eastAsia"/>
          <w:b/>
          <w:sz w:val="28"/>
          <w:szCs w:val="28"/>
        </w:rPr>
        <w:t>-</w:t>
      </w:r>
      <w:r w:rsidR="006C78C8">
        <w:rPr>
          <w:rFonts w:ascii="宋体" w:hAnsi="宋体" w:hint="eastAsia"/>
          <w:b/>
          <w:sz w:val="28"/>
          <w:szCs w:val="28"/>
        </w:rPr>
        <w:t>私行专享尊贵</w:t>
      </w:r>
      <w:r>
        <w:rPr>
          <w:rFonts w:ascii="宋体" w:hAnsi="宋体" w:hint="eastAsia"/>
          <w:b/>
          <w:sz w:val="28"/>
          <w:szCs w:val="28"/>
        </w:rPr>
        <w:t>智慧资产管理类</w:t>
      </w:r>
      <w:r w:rsidR="00C97A3B" w:rsidRPr="00E449C8">
        <w:rPr>
          <w:rFonts w:ascii="宋体" w:hAnsi="宋体" w:hint="eastAsia"/>
          <w:b/>
          <w:color w:val="FF0000"/>
          <w:sz w:val="28"/>
          <w:szCs w:val="28"/>
          <w:u w:val="single"/>
        </w:rPr>
        <w:t>2013</w:t>
      </w:r>
      <w:r w:rsidR="00C97A3B" w:rsidRPr="00E449C8">
        <w:rPr>
          <w:rFonts w:ascii="宋体" w:hAnsi="宋体" w:hint="eastAsia"/>
          <w:b/>
          <w:color w:val="FF0000"/>
          <w:sz w:val="28"/>
          <w:szCs w:val="28"/>
          <w:u w:val="single"/>
        </w:rPr>
        <w:t>年</w:t>
      </w:r>
      <w:r w:rsidR="006C78C8">
        <w:rPr>
          <w:rFonts w:ascii="宋体" w:hAnsi="宋体" w:hint="eastAsia"/>
          <w:b/>
          <w:color w:val="FF0000"/>
          <w:sz w:val="28"/>
          <w:szCs w:val="28"/>
          <w:u w:val="single"/>
        </w:rPr>
        <w:t>3</w:t>
      </w:r>
      <w:r w:rsidR="00133B9E">
        <w:rPr>
          <w:rFonts w:ascii="宋体" w:hAnsi="宋体" w:hint="eastAsia"/>
          <w:b/>
          <w:color w:val="FF0000"/>
          <w:sz w:val="28"/>
          <w:szCs w:val="28"/>
          <w:u w:val="single"/>
        </w:rPr>
        <w:t>4</w:t>
      </w:r>
      <w:r w:rsidR="006C78C8">
        <w:rPr>
          <w:rFonts w:ascii="宋体" w:hAnsi="宋体" w:hint="eastAsia"/>
          <w:b/>
          <w:color w:val="FF0000"/>
          <w:sz w:val="28"/>
          <w:szCs w:val="28"/>
          <w:u w:val="single"/>
        </w:rPr>
        <w:t>期</w:t>
      </w:r>
    </w:p>
    <w:p w:rsidR="00CB2369" w:rsidRPr="00C97A3B" w:rsidRDefault="003E1110" w:rsidP="00CB2369">
      <w:pPr>
        <w:pStyle w:val="a9"/>
        <w:spacing w:line="540" w:lineRule="exact"/>
        <w:jc w:val="center"/>
        <w:rPr>
          <w:rStyle w:val="corporatetitle1"/>
          <w:rFonts w:ascii="宋体" w:hAnsi="宋体"/>
          <w:bCs w:val="0"/>
          <w:color w:val="auto"/>
          <w:sz w:val="28"/>
          <w:szCs w:val="28"/>
        </w:rPr>
      </w:pPr>
      <w:r w:rsidRPr="00C97A3B">
        <w:rPr>
          <w:rFonts w:ascii="宋体" w:hAnsi="宋体" w:hint="eastAsia"/>
          <w:b/>
          <w:sz w:val="28"/>
          <w:szCs w:val="28"/>
        </w:rPr>
        <w:t>人民币理财产品说明书</w:t>
      </w:r>
    </w:p>
    <w:p w:rsidR="003E1110" w:rsidRPr="00C97A3B" w:rsidRDefault="00092014" w:rsidP="001D5548">
      <w:pPr>
        <w:rPr>
          <w:rStyle w:val="corporatetitle1"/>
          <w:rFonts w:ascii="仿宋_GB2312"/>
          <w:snapToGrid w:val="0"/>
          <w:color w:val="000000"/>
          <w:sz w:val="28"/>
          <w:szCs w:val="28"/>
        </w:rPr>
      </w:pPr>
      <w:r w:rsidRPr="00092014">
        <w:rPr>
          <w:noProof/>
        </w:rPr>
        <w:pict>
          <v:shapetype id="_x0000_t202" coordsize="21600,21600" o:spt="202" path="m,l,21600r21600,l21600,xe">
            <v:stroke joinstyle="miter"/>
            <v:path gradientshapeok="t" o:connecttype="rect"/>
          </v:shapetype>
          <v:shape id="_x0000_s1026" type="#_x0000_t202" style="position:absolute;left:0;text-align:left;margin-left:-22.5pt;margin-top:.1pt;width:460.5pt;height:168.65pt;z-index:251657728" filled="f" strokeweight="1.5pt">
            <v:textbox style="mso-next-textbox:#_x0000_s1026">
              <w:txbxContent>
                <w:p w:rsidR="003E1110" w:rsidRPr="00C03F41" w:rsidRDefault="003E1110" w:rsidP="00CB2369">
                  <w:pPr>
                    <w:numPr>
                      <w:ilvl w:val="0"/>
                      <w:numId w:val="2"/>
                    </w:numPr>
                    <w:tabs>
                      <w:tab w:val="left" w:pos="540"/>
                    </w:tabs>
                    <w:ind w:left="540" w:hanging="540"/>
                    <w:jc w:val="left"/>
                    <w:rPr>
                      <w:rFonts w:ascii="仿宋_GB2312" w:hAnsi="华文仿宋"/>
                      <w:b/>
                      <w:sz w:val="21"/>
                      <w:szCs w:val="21"/>
                    </w:rPr>
                  </w:pPr>
                  <w:r w:rsidRPr="00C03F41">
                    <w:rPr>
                      <w:rFonts w:ascii="仿宋_GB2312" w:hAnsi="华文仿宋" w:hint="eastAsia"/>
                      <w:b/>
                      <w:sz w:val="21"/>
                      <w:szCs w:val="21"/>
                    </w:rPr>
                    <w:t>银行销售的理财产品与存款存在明显区别，具有一定的风险。</w:t>
                  </w:r>
                </w:p>
                <w:p w:rsidR="003E1110" w:rsidRPr="00C03F41" w:rsidRDefault="003E1110" w:rsidP="00CB2369">
                  <w:pPr>
                    <w:numPr>
                      <w:ilvl w:val="0"/>
                      <w:numId w:val="2"/>
                    </w:numPr>
                    <w:tabs>
                      <w:tab w:val="clear" w:pos="420"/>
                      <w:tab w:val="num" w:pos="540"/>
                    </w:tabs>
                    <w:jc w:val="left"/>
                    <w:rPr>
                      <w:rFonts w:ascii="仿宋_GB2312" w:hAnsi="华文仿宋"/>
                      <w:b/>
                      <w:sz w:val="21"/>
                      <w:szCs w:val="21"/>
                    </w:rPr>
                  </w:pPr>
                  <w:r w:rsidRPr="00C03F41">
                    <w:rPr>
                      <w:rFonts w:ascii="仿宋_GB2312" w:hAnsi="华文仿宋" w:hint="eastAsia"/>
                      <w:b/>
                      <w:sz w:val="21"/>
                      <w:szCs w:val="21"/>
                    </w:rPr>
                    <w:t>本产品</w:t>
                  </w:r>
                  <w:r w:rsidR="00F65648" w:rsidRPr="00E94E6A">
                    <w:rPr>
                      <w:rFonts w:ascii="仿宋_GB2312" w:hAnsi="华文仿宋" w:hint="eastAsia"/>
                      <w:b/>
                      <w:sz w:val="21"/>
                      <w:szCs w:val="21"/>
                    </w:rPr>
                    <w:t>面向高</w:t>
                  </w:r>
                  <w:r w:rsidR="009325EF" w:rsidRPr="00E94E6A">
                    <w:rPr>
                      <w:rFonts w:ascii="仿宋_GB2312" w:hAnsi="华文仿宋" w:hint="eastAsia"/>
                      <w:b/>
                      <w:sz w:val="21"/>
                      <w:szCs w:val="21"/>
                    </w:rPr>
                    <w:t>资产</w:t>
                  </w:r>
                  <w:r w:rsidR="00F65648" w:rsidRPr="00E94E6A">
                    <w:rPr>
                      <w:rFonts w:ascii="仿宋_GB2312" w:hAnsi="华文仿宋" w:hint="eastAsia"/>
                      <w:b/>
                      <w:sz w:val="21"/>
                      <w:szCs w:val="21"/>
                    </w:rPr>
                    <w:t>净值</w:t>
                  </w:r>
                  <w:r w:rsidRPr="00C03F41">
                    <w:rPr>
                      <w:rFonts w:ascii="仿宋_GB2312" w:hAnsi="华文仿宋" w:hint="eastAsia"/>
                      <w:b/>
                      <w:sz w:val="21"/>
                      <w:szCs w:val="21"/>
                    </w:rPr>
                    <w:t>客户销售。</w:t>
                  </w:r>
                </w:p>
                <w:p w:rsidR="003E1110" w:rsidRPr="00C03F41" w:rsidRDefault="003E1110" w:rsidP="00CB2369">
                  <w:pPr>
                    <w:numPr>
                      <w:ilvl w:val="0"/>
                      <w:numId w:val="2"/>
                    </w:numPr>
                    <w:tabs>
                      <w:tab w:val="left" w:pos="540"/>
                    </w:tabs>
                    <w:jc w:val="left"/>
                    <w:rPr>
                      <w:rFonts w:ascii="仿宋_GB2312" w:hAnsi="华文仿宋"/>
                      <w:b/>
                      <w:sz w:val="21"/>
                      <w:szCs w:val="21"/>
                    </w:rPr>
                  </w:pPr>
                  <w:r w:rsidRPr="00C03F41">
                    <w:rPr>
                      <w:rFonts w:ascii="仿宋_GB2312" w:hAnsi="华文仿宋" w:hint="eastAsia"/>
                      <w:b/>
                      <w:sz w:val="21"/>
                      <w:szCs w:val="21"/>
                    </w:rPr>
                    <w:t>本理财产品为</w:t>
                  </w:r>
                  <w:r w:rsidR="000B64BC" w:rsidRPr="00C03F41">
                    <w:rPr>
                      <w:rFonts w:ascii="仿宋_GB2312" w:hAnsi="华文仿宋" w:hint="eastAsia"/>
                      <w:b/>
                      <w:sz w:val="21"/>
                      <w:szCs w:val="21"/>
                    </w:rPr>
                    <w:t>非</w:t>
                  </w:r>
                  <w:r w:rsidRPr="00C03F41">
                    <w:rPr>
                      <w:rFonts w:ascii="仿宋_GB2312" w:hAnsi="华文仿宋" w:hint="eastAsia"/>
                      <w:b/>
                      <w:sz w:val="21"/>
                      <w:szCs w:val="21"/>
                    </w:rPr>
                    <w:t>保本浮动收益型产品。</w:t>
                  </w:r>
                  <w:r w:rsidR="00C03F41" w:rsidRPr="00C03F41">
                    <w:rPr>
                      <w:rFonts w:ascii="仿宋_GB2312" w:hAnsi="华文仿宋" w:hint="eastAsia"/>
                      <w:b/>
                      <w:sz w:val="21"/>
                      <w:szCs w:val="21"/>
                    </w:rPr>
                    <w:t>平安银行</w:t>
                  </w:r>
                  <w:r w:rsidRPr="00C03F41">
                    <w:rPr>
                      <w:rFonts w:ascii="仿宋_GB2312" w:hAnsi="华文仿宋" w:hint="eastAsia"/>
                      <w:b/>
                      <w:sz w:val="21"/>
                      <w:szCs w:val="21"/>
                    </w:rPr>
                    <w:t>对本理财产品的</w:t>
                  </w:r>
                  <w:r w:rsidR="000B64BC" w:rsidRPr="00C03F41">
                    <w:rPr>
                      <w:rFonts w:ascii="仿宋_GB2312" w:hAnsi="华文仿宋" w:hint="eastAsia"/>
                      <w:b/>
                      <w:sz w:val="21"/>
                      <w:szCs w:val="21"/>
                    </w:rPr>
                    <w:t>本金和</w:t>
                  </w:r>
                  <w:r w:rsidRPr="00C03F41">
                    <w:rPr>
                      <w:rFonts w:ascii="仿宋_GB2312" w:hAnsi="华文仿宋" w:hint="eastAsia"/>
                      <w:b/>
                      <w:sz w:val="21"/>
                      <w:szCs w:val="21"/>
                    </w:rPr>
                    <w:t>收益不提供保证承诺．根据银监会《商业银行个人理财业务风险管理指引》要求，特别提示：“本理财计划</w:t>
                  </w:r>
                  <w:r w:rsidR="00272378" w:rsidRPr="00C03F41">
                    <w:rPr>
                      <w:rFonts w:ascii="仿宋_GB2312" w:hAnsi="华文仿宋" w:hint="eastAsia"/>
                      <w:b/>
                      <w:sz w:val="21"/>
                      <w:szCs w:val="21"/>
                    </w:rPr>
                    <w:t>是高风险投资产品，您的本金可能会因市场变动而蒙受重大损失，</w:t>
                  </w:r>
                  <w:r w:rsidRPr="00C03F41">
                    <w:rPr>
                      <w:rFonts w:ascii="仿宋_GB2312" w:hAnsi="华文仿宋" w:hint="eastAsia"/>
                      <w:b/>
                      <w:sz w:val="21"/>
                      <w:szCs w:val="21"/>
                    </w:rPr>
                    <w:t>您应充分认识投资风险，谨慎投资。”</w:t>
                  </w:r>
                </w:p>
                <w:p w:rsidR="003E1110" w:rsidRPr="00C03F41" w:rsidRDefault="00C03F41" w:rsidP="00CB2369">
                  <w:pPr>
                    <w:numPr>
                      <w:ilvl w:val="0"/>
                      <w:numId w:val="2"/>
                    </w:numPr>
                    <w:tabs>
                      <w:tab w:val="left" w:pos="540"/>
                    </w:tabs>
                    <w:jc w:val="left"/>
                    <w:rPr>
                      <w:rFonts w:ascii="仿宋_GB2312" w:hAnsi="华文仿宋"/>
                      <w:b/>
                      <w:sz w:val="21"/>
                      <w:szCs w:val="21"/>
                    </w:rPr>
                  </w:pPr>
                  <w:r w:rsidRPr="00C03F41">
                    <w:rPr>
                      <w:rFonts w:ascii="仿宋_GB2312" w:hAnsi="华文仿宋" w:hint="eastAsia"/>
                      <w:b/>
                      <w:sz w:val="21"/>
                      <w:szCs w:val="21"/>
                    </w:rPr>
                    <w:t>平安银行</w:t>
                  </w:r>
                  <w:r w:rsidR="003E1110" w:rsidRPr="00C03F41">
                    <w:rPr>
                      <w:rFonts w:ascii="仿宋_GB2312" w:hAnsi="华文仿宋" w:hint="eastAsia"/>
                      <w:b/>
                      <w:sz w:val="21"/>
                      <w:szCs w:val="21"/>
                    </w:rPr>
                    <w:t>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p>
                <w:p w:rsidR="003E1110" w:rsidRPr="00C03F41" w:rsidRDefault="003E1110" w:rsidP="00CB2369">
                  <w:pPr>
                    <w:numPr>
                      <w:ilvl w:val="0"/>
                      <w:numId w:val="2"/>
                    </w:numPr>
                    <w:tabs>
                      <w:tab w:val="left" w:pos="540"/>
                    </w:tabs>
                    <w:jc w:val="left"/>
                    <w:rPr>
                      <w:rFonts w:ascii="仿宋_GB2312" w:hAnsi="华文仿宋"/>
                      <w:b/>
                      <w:sz w:val="21"/>
                      <w:szCs w:val="21"/>
                    </w:rPr>
                  </w:pPr>
                  <w:r w:rsidRPr="00C03F41">
                    <w:rPr>
                      <w:rFonts w:ascii="仿宋_GB2312" w:hAnsi="华文仿宋" w:hint="eastAsia"/>
                      <w:b/>
                      <w:sz w:val="21"/>
                      <w:szCs w:val="21"/>
                    </w:rPr>
                    <w:t>在购买理财产品后，投资者应随时关注该理财产品的信息披露情况，及时获取相关信息。</w:t>
                  </w:r>
                </w:p>
              </w:txbxContent>
            </v:textbox>
          </v:shape>
        </w:pict>
      </w:r>
    </w:p>
    <w:p w:rsidR="003E1110" w:rsidRPr="00C97A3B" w:rsidRDefault="003E1110" w:rsidP="001D5548">
      <w:pPr>
        <w:rPr>
          <w:rStyle w:val="corporatetitle1"/>
          <w:rFonts w:ascii="仿宋_GB2312"/>
          <w:snapToGrid w:val="0"/>
          <w:color w:val="000000"/>
          <w:sz w:val="28"/>
          <w:szCs w:val="28"/>
        </w:rPr>
      </w:pPr>
    </w:p>
    <w:p w:rsidR="003E1110" w:rsidRPr="00C97A3B" w:rsidRDefault="003E1110" w:rsidP="001D5548">
      <w:pPr>
        <w:rPr>
          <w:rStyle w:val="corporatetitle1"/>
          <w:rFonts w:ascii="仿宋_GB2312"/>
          <w:snapToGrid w:val="0"/>
          <w:color w:val="000000"/>
          <w:sz w:val="28"/>
          <w:szCs w:val="28"/>
        </w:rPr>
      </w:pPr>
    </w:p>
    <w:p w:rsidR="003E1110" w:rsidRPr="00C97A3B" w:rsidRDefault="003E1110" w:rsidP="001D5548">
      <w:pPr>
        <w:rPr>
          <w:rStyle w:val="corporatetitle1"/>
          <w:rFonts w:ascii="仿宋_GB2312"/>
          <w:snapToGrid w:val="0"/>
          <w:color w:val="000000"/>
          <w:sz w:val="28"/>
          <w:szCs w:val="28"/>
        </w:rPr>
      </w:pPr>
    </w:p>
    <w:p w:rsidR="003E1110" w:rsidRPr="00C97A3B" w:rsidRDefault="003E1110" w:rsidP="001D5548">
      <w:pPr>
        <w:rPr>
          <w:rStyle w:val="corporatetitle1"/>
          <w:rFonts w:ascii="仿宋_GB2312"/>
          <w:snapToGrid w:val="0"/>
          <w:color w:val="000000"/>
          <w:sz w:val="28"/>
          <w:szCs w:val="28"/>
        </w:rPr>
      </w:pPr>
    </w:p>
    <w:p w:rsidR="00064FD6" w:rsidRPr="00C97A3B" w:rsidRDefault="00064FD6" w:rsidP="00064FD6">
      <w:pPr>
        <w:spacing w:line="240" w:lineRule="exact"/>
        <w:rPr>
          <w:rStyle w:val="corporatetitle1"/>
          <w:rFonts w:ascii="仿宋_GB2312"/>
          <w:snapToGrid w:val="0"/>
          <w:color w:val="000000"/>
          <w:sz w:val="28"/>
          <w:szCs w:val="28"/>
        </w:rPr>
      </w:pPr>
    </w:p>
    <w:p w:rsidR="00064FD6" w:rsidRPr="00C97A3B" w:rsidRDefault="00064FD6" w:rsidP="000751B5">
      <w:pPr>
        <w:rPr>
          <w:rFonts w:ascii="宋体" w:eastAsia="宋体" w:hAnsi="宋体"/>
          <w:b/>
          <w:sz w:val="24"/>
          <w:szCs w:val="24"/>
        </w:rPr>
      </w:pPr>
    </w:p>
    <w:p w:rsidR="003E1110" w:rsidRPr="00C97A3B" w:rsidRDefault="003E1110" w:rsidP="007873C1">
      <w:pPr>
        <w:outlineLvl w:val="0"/>
        <w:rPr>
          <w:rFonts w:ascii="宋体" w:eastAsia="宋体" w:hAnsi="宋体"/>
          <w:b/>
          <w:sz w:val="24"/>
          <w:szCs w:val="24"/>
        </w:rPr>
      </w:pPr>
      <w:r w:rsidRPr="00C97A3B">
        <w:rPr>
          <w:rFonts w:ascii="宋体" w:eastAsia="宋体" w:hAnsi="宋体" w:hint="eastAsia"/>
          <w:b/>
          <w:sz w:val="24"/>
          <w:szCs w:val="24"/>
        </w:rPr>
        <w:t>一、产品概述</w:t>
      </w:r>
    </w:p>
    <w:tbl>
      <w:tblPr>
        <w:tblW w:w="9215" w:type="dxa"/>
        <w:tblInd w:w="-4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1702"/>
        <w:gridCol w:w="7513"/>
      </w:tblGrid>
      <w:tr w:rsidR="003E1110" w:rsidRPr="00C97A3B" w:rsidTr="00021D75">
        <w:trPr>
          <w:trHeight w:val="413"/>
        </w:trPr>
        <w:tc>
          <w:tcPr>
            <w:tcW w:w="1702" w:type="dxa"/>
            <w:shd w:val="clear" w:color="auto" w:fill="auto"/>
            <w:noWrap/>
            <w:tcMar>
              <w:top w:w="15" w:type="dxa"/>
              <w:left w:w="15" w:type="dxa"/>
              <w:bottom w:w="0" w:type="dxa"/>
              <w:right w:w="15" w:type="dxa"/>
            </w:tcMar>
            <w:vAlign w:val="center"/>
          </w:tcPr>
          <w:p w:rsidR="003E1110" w:rsidRPr="00C97A3B" w:rsidRDefault="003E1110"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产品名称</w:t>
            </w:r>
          </w:p>
        </w:tc>
        <w:tc>
          <w:tcPr>
            <w:tcW w:w="7513" w:type="dxa"/>
            <w:shd w:val="clear" w:color="auto" w:fill="auto"/>
            <w:tcMar>
              <w:top w:w="15" w:type="dxa"/>
              <w:left w:w="15" w:type="dxa"/>
              <w:bottom w:w="0" w:type="dxa"/>
              <w:right w:w="15" w:type="dxa"/>
            </w:tcMar>
            <w:vAlign w:val="center"/>
          </w:tcPr>
          <w:p w:rsidR="003E1110" w:rsidRPr="00C97A3B" w:rsidRDefault="00021D75" w:rsidP="00133B9E">
            <w:pPr>
              <w:spacing w:line="240" w:lineRule="exact"/>
              <w:rPr>
                <w:rFonts w:ascii="宋体" w:eastAsia="宋体" w:hAnsi="宋体"/>
                <w:b/>
                <w:bCs/>
                <w:sz w:val="21"/>
                <w:szCs w:val="21"/>
              </w:rPr>
            </w:pPr>
            <w:r>
              <w:rPr>
                <w:rFonts w:ascii="宋体" w:eastAsia="宋体" w:hAnsi="宋体" w:hint="eastAsia"/>
                <w:b/>
                <w:bCs/>
                <w:sz w:val="21"/>
                <w:szCs w:val="21"/>
              </w:rPr>
              <w:t>平安财富-</w:t>
            </w:r>
            <w:r w:rsidR="006C78C8">
              <w:rPr>
                <w:rFonts w:ascii="宋体" w:eastAsia="宋体" w:hAnsi="宋体" w:hint="eastAsia"/>
                <w:b/>
                <w:bCs/>
                <w:sz w:val="21"/>
                <w:szCs w:val="21"/>
              </w:rPr>
              <w:t>私行专享尊贵</w:t>
            </w:r>
            <w:r>
              <w:rPr>
                <w:rFonts w:ascii="宋体" w:eastAsia="宋体" w:hAnsi="宋体" w:hint="eastAsia"/>
                <w:b/>
                <w:bCs/>
                <w:sz w:val="21"/>
                <w:szCs w:val="21"/>
              </w:rPr>
              <w:t>智慧资产管理类</w:t>
            </w:r>
            <w:r w:rsidR="00C97A3B" w:rsidRPr="00E449C8">
              <w:rPr>
                <w:rFonts w:ascii="宋体" w:eastAsia="宋体" w:hAnsi="宋体" w:hint="eastAsia"/>
                <w:b/>
                <w:bCs/>
                <w:color w:val="FF0000"/>
                <w:sz w:val="21"/>
                <w:szCs w:val="21"/>
                <w:u w:val="single"/>
              </w:rPr>
              <w:t>2013年</w:t>
            </w:r>
            <w:r w:rsidR="006C78C8">
              <w:rPr>
                <w:rFonts w:ascii="宋体" w:eastAsia="宋体" w:hAnsi="宋体" w:hint="eastAsia"/>
                <w:b/>
                <w:bCs/>
                <w:color w:val="FF0000"/>
                <w:sz w:val="21"/>
                <w:szCs w:val="21"/>
                <w:u w:val="single"/>
              </w:rPr>
              <w:t>3</w:t>
            </w:r>
            <w:r w:rsidR="00133B9E">
              <w:rPr>
                <w:rFonts w:ascii="宋体" w:eastAsia="宋体" w:hAnsi="宋体" w:hint="eastAsia"/>
                <w:b/>
                <w:bCs/>
                <w:color w:val="FF0000"/>
                <w:sz w:val="21"/>
                <w:szCs w:val="21"/>
                <w:u w:val="single"/>
              </w:rPr>
              <w:t>4</w:t>
            </w:r>
            <w:r w:rsidR="006C78C8">
              <w:rPr>
                <w:rFonts w:ascii="宋体" w:eastAsia="宋体" w:hAnsi="宋体" w:hint="eastAsia"/>
                <w:b/>
                <w:bCs/>
                <w:color w:val="FF0000"/>
                <w:sz w:val="21"/>
                <w:szCs w:val="21"/>
                <w:u w:val="single"/>
              </w:rPr>
              <w:t>期</w:t>
            </w:r>
            <w:r w:rsidR="003E1110" w:rsidRPr="00C97A3B">
              <w:rPr>
                <w:rFonts w:ascii="宋体" w:eastAsia="宋体" w:hAnsi="宋体" w:hint="eastAsia"/>
                <w:b/>
                <w:bCs/>
                <w:sz w:val="21"/>
                <w:szCs w:val="21"/>
              </w:rPr>
              <w:t>人民币理财产品</w:t>
            </w:r>
          </w:p>
        </w:tc>
      </w:tr>
      <w:tr w:rsidR="001266FE" w:rsidRPr="00C97A3B" w:rsidTr="00064FD6">
        <w:trPr>
          <w:trHeight w:val="416"/>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sz w:val="21"/>
                <w:szCs w:val="21"/>
              </w:rPr>
            </w:pPr>
            <w:r w:rsidRPr="00C97A3B">
              <w:rPr>
                <w:rFonts w:ascii="宋体" w:eastAsia="宋体" w:hAnsi="宋体" w:hint="eastAsia"/>
                <w:sz w:val="21"/>
                <w:szCs w:val="21"/>
              </w:rPr>
              <w:t>产品风险评级</w:t>
            </w:r>
          </w:p>
        </w:tc>
        <w:tc>
          <w:tcPr>
            <w:tcW w:w="7513" w:type="dxa"/>
            <w:shd w:val="clear" w:color="auto" w:fill="auto"/>
            <w:tcMar>
              <w:top w:w="15" w:type="dxa"/>
              <w:left w:w="15" w:type="dxa"/>
              <w:bottom w:w="0" w:type="dxa"/>
              <w:right w:w="15" w:type="dxa"/>
            </w:tcMar>
            <w:vAlign w:val="center"/>
          </w:tcPr>
          <w:p w:rsidR="001266FE" w:rsidRPr="00C97A3B" w:rsidRDefault="007873C1" w:rsidP="006D21FF">
            <w:pPr>
              <w:spacing w:line="240" w:lineRule="exact"/>
              <w:rPr>
                <w:rFonts w:ascii="宋体" w:eastAsia="宋体" w:hAnsi="宋体"/>
                <w:color w:val="FF0000"/>
                <w:sz w:val="21"/>
                <w:szCs w:val="21"/>
              </w:rPr>
            </w:pPr>
            <w:r w:rsidRPr="00C97A3B">
              <w:rPr>
                <w:rFonts w:ascii="宋体" w:eastAsia="宋体" w:hAnsi="宋体" w:hint="eastAsia"/>
                <w:bCs/>
                <w:sz w:val="21"/>
                <w:szCs w:val="21"/>
              </w:rPr>
              <w:t>“</w:t>
            </w:r>
            <w:r w:rsidR="005D7CCF" w:rsidRPr="00C97A3B">
              <w:rPr>
                <w:rFonts w:ascii="宋体" w:eastAsia="宋体" w:hAnsi="宋体" w:hint="eastAsia"/>
                <w:bCs/>
                <w:sz w:val="21"/>
                <w:szCs w:val="21"/>
              </w:rPr>
              <w:t>三</w:t>
            </w:r>
            <w:r w:rsidRPr="00C97A3B">
              <w:rPr>
                <w:rFonts w:ascii="宋体" w:eastAsia="宋体" w:hAnsi="宋体" w:hint="eastAsia"/>
                <w:bCs/>
                <w:sz w:val="21"/>
                <w:szCs w:val="21"/>
              </w:rPr>
              <w:t>级”中等风险</w:t>
            </w:r>
          </w:p>
        </w:tc>
      </w:tr>
      <w:tr w:rsidR="001266FE" w:rsidRPr="00C97A3B" w:rsidTr="00064FD6">
        <w:trPr>
          <w:trHeight w:val="636"/>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适合客户</w:t>
            </w:r>
          </w:p>
        </w:tc>
        <w:tc>
          <w:tcPr>
            <w:tcW w:w="7513" w:type="dxa"/>
            <w:shd w:val="clear" w:color="auto" w:fill="auto"/>
            <w:tcMar>
              <w:top w:w="15" w:type="dxa"/>
              <w:left w:w="15" w:type="dxa"/>
              <w:bottom w:w="0" w:type="dxa"/>
              <w:right w:w="15" w:type="dxa"/>
            </w:tcMar>
            <w:vAlign w:val="center"/>
          </w:tcPr>
          <w:p w:rsidR="00BA21C2" w:rsidRDefault="001266FE" w:rsidP="006D21FF">
            <w:pPr>
              <w:spacing w:line="240" w:lineRule="exact"/>
              <w:rPr>
                <w:rFonts w:ascii="宋体" w:eastAsia="宋体" w:hAnsi="宋体"/>
                <w:sz w:val="21"/>
                <w:szCs w:val="21"/>
              </w:rPr>
            </w:pPr>
            <w:r w:rsidRPr="00C97A3B">
              <w:rPr>
                <w:rFonts w:ascii="宋体" w:eastAsia="宋体" w:hAnsi="宋体" w:hint="eastAsia"/>
                <w:sz w:val="21"/>
                <w:szCs w:val="21"/>
              </w:rPr>
              <w:t>本产品</w:t>
            </w:r>
            <w:r w:rsidR="007D1ACB" w:rsidRPr="00C97A3B">
              <w:rPr>
                <w:rFonts w:ascii="宋体" w:eastAsia="宋体" w:hAnsi="宋体" w:hint="eastAsia"/>
                <w:sz w:val="21"/>
                <w:szCs w:val="21"/>
              </w:rPr>
              <w:t>面</w:t>
            </w:r>
            <w:r w:rsidRPr="00C97A3B">
              <w:rPr>
                <w:rFonts w:ascii="宋体" w:eastAsia="宋体" w:hAnsi="宋体" w:hint="eastAsia"/>
                <w:sz w:val="21"/>
                <w:szCs w:val="21"/>
              </w:rPr>
              <w:t>向</w:t>
            </w:r>
            <w:r w:rsidR="007D1ACB" w:rsidRPr="00C97A3B">
              <w:rPr>
                <w:rFonts w:ascii="宋体" w:eastAsia="宋体" w:hAnsi="宋体" w:hint="eastAsia"/>
                <w:sz w:val="21"/>
                <w:szCs w:val="21"/>
              </w:rPr>
              <w:t>高</w:t>
            </w:r>
            <w:r w:rsidR="009325EF" w:rsidRPr="00C97A3B">
              <w:rPr>
                <w:rFonts w:ascii="宋体" w:eastAsia="宋体" w:hAnsi="宋体" w:hint="eastAsia"/>
                <w:sz w:val="21"/>
                <w:szCs w:val="21"/>
              </w:rPr>
              <w:t>资产</w:t>
            </w:r>
            <w:r w:rsidR="007D1ACB" w:rsidRPr="00C97A3B">
              <w:rPr>
                <w:rFonts w:ascii="宋体" w:eastAsia="宋体" w:hAnsi="宋体" w:hint="eastAsia"/>
                <w:sz w:val="21"/>
                <w:szCs w:val="21"/>
              </w:rPr>
              <w:t>净值客户</w:t>
            </w:r>
            <w:r w:rsidRPr="00C97A3B">
              <w:rPr>
                <w:rFonts w:ascii="宋体" w:eastAsia="宋体" w:hAnsi="宋体" w:hint="eastAsia"/>
                <w:sz w:val="21"/>
                <w:szCs w:val="21"/>
              </w:rPr>
              <w:t>销售。</w:t>
            </w:r>
          </w:p>
          <w:p w:rsidR="001266FE" w:rsidRPr="00C97A3B" w:rsidRDefault="00C03F41" w:rsidP="006D21FF">
            <w:pPr>
              <w:spacing w:line="240" w:lineRule="exact"/>
              <w:rPr>
                <w:rFonts w:ascii="宋体" w:eastAsia="宋体" w:hAnsi="宋体"/>
                <w:sz w:val="21"/>
                <w:szCs w:val="21"/>
              </w:rPr>
            </w:pPr>
            <w:r w:rsidRPr="00C97A3B">
              <w:rPr>
                <w:rFonts w:ascii="宋体" w:eastAsia="宋体" w:hAnsi="宋体" w:hint="eastAsia"/>
                <w:sz w:val="21"/>
                <w:szCs w:val="21"/>
              </w:rPr>
              <w:t>平安银行</w:t>
            </w:r>
            <w:r w:rsidR="001266FE" w:rsidRPr="00C97A3B">
              <w:rPr>
                <w:rFonts w:ascii="宋体" w:eastAsia="宋体" w:hAnsi="宋体" w:hint="eastAsia"/>
                <w:sz w:val="21"/>
                <w:szCs w:val="21"/>
              </w:rPr>
              <w:t>建议：经我行风险承受度评估，</w:t>
            </w:r>
            <w:r w:rsidR="007873C1" w:rsidRPr="00C97A3B">
              <w:rPr>
                <w:rFonts w:ascii="宋体" w:eastAsia="宋体" w:hAnsi="宋体" w:hint="eastAsia"/>
                <w:sz w:val="21"/>
                <w:szCs w:val="21"/>
              </w:rPr>
              <w:t>评定为“平衡型”、“成长型”、“进取型”的客户适合购买本产品</w:t>
            </w:r>
            <w:r w:rsidR="00BA21C2">
              <w:rPr>
                <w:rFonts w:ascii="宋体" w:eastAsia="宋体" w:hAnsi="宋体" w:hint="eastAsia"/>
                <w:sz w:val="21"/>
                <w:szCs w:val="21"/>
              </w:rPr>
              <w:t>。</w:t>
            </w:r>
          </w:p>
        </w:tc>
      </w:tr>
      <w:tr w:rsidR="001266FE" w:rsidRPr="00C97A3B" w:rsidTr="00064FD6">
        <w:trPr>
          <w:trHeight w:val="411"/>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产品期限</w:t>
            </w:r>
          </w:p>
        </w:tc>
        <w:tc>
          <w:tcPr>
            <w:tcW w:w="7513" w:type="dxa"/>
            <w:shd w:val="clear" w:color="auto" w:fill="auto"/>
            <w:tcMar>
              <w:top w:w="15" w:type="dxa"/>
              <w:left w:w="15" w:type="dxa"/>
              <w:bottom w:w="0" w:type="dxa"/>
              <w:right w:w="15" w:type="dxa"/>
            </w:tcMar>
            <w:vAlign w:val="center"/>
          </w:tcPr>
          <w:p w:rsidR="001266FE" w:rsidRPr="00C97A3B" w:rsidRDefault="00133B9E" w:rsidP="006D21FF">
            <w:pPr>
              <w:spacing w:line="240" w:lineRule="exact"/>
              <w:jc w:val="left"/>
              <w:rPr>
                <w:rFonts w:ascii="宋体" w:eastAsia="宋体" w:hAnsi="宋体" w:cs="宋体"/>
                <w:b/>
                <w:color w:val="FF0000"/>
                <w:sz w:val="21"/>
                <w:szCs w:val="21"/>
              </w:rPr>
            </w:pPr>
            <w:r>
              <w:rPr>
                <w:rFonts w:ascii="宋体" w:eastAsia="宋体" w:hAnsi="宋体" w:hint="eastAsia"/>
                <w:b/>
                <w:bCs/>
                <w:color w:val="FF0000"/>
                <w:sz w:val="21"/>
                <w:szCs w:val="21"/>
              </w:rPr>
              <w:t>203</w:t>
            </w:r>
            <w:r w:rsidR="001266FE" w:rsidRPr="006D21FF">
              <w:rPr>
                <w:rFonts w:ascii="宋体" w:eastAsia="宋体" w:hAnsi="宋体" w:cs="Arial" w:hint="eastAsia"/>
                <w:b/>
                <w:snapToGrid w:val="0"/>
                <w:color w:val="FF0000"/>
                <w:sz w:val="21"/>
                <w:szCs w:val="21"/>
              </w:rPr>
              <w:t>天</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投资及收益币种</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cs="宋体"/>
                <w:sz w:val="21"/>
                <w:szCs w:val="21"/>
              </w:rPr>
            </w:pPr>
            <w:r w:rsidRPr="00C97A3B">
              <w:rPr>
                <w:rFonts w:ascii="宋体" w:eastAsia="宋体" w:hAnsi="宋体" w:hint="eastAsia"/>
                <w:sz w:val="21"/>
                <w:szCs w:val="21"/>
              </w:rPr>
              <w:t>人民币</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产品类型</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cs="宋体"/>
                <w:sz w:val="21"/>
                <w:szCs w:val="21"/>
              </w:rPr>
            </w:pPr>
            <w:r w:rsidRPr="00C97A3B">
              <w:rPr>
                <w:rFonts w:ascii="宋体" w:eastAsia="宋体" w:hAnsi="宋体" w:hint="eastAsia"/>
                <w:sz w:val="21"/>
                <w:szCs w:val="21"/>
              </w:rPr>
              <w:t>非</w:t>
            </w:r>
            <w:r w:rsidRPr="00C97A3B">
              <w:rPr>
                <w:rFonts w:ascii="宋体" w:eastAsia="宋体" w:hAnsi="宋体"/>
                <w:sz w:val="21"/>
                <w:szCs w:val="21"/>
              </w:rPr>
              <w:t>保本</w:t>
            </w:r>
            <w:r w:rsidRPr="00C97A3B">
              <w:rPr>
                <w:rFonts w:ascii="宋体" w:eastAsia="宋体" w:hAnsi="宋体" w:hint="eastAsia"/>
                <w:sz w:val="21"/>
                <w:szCs w:val="21"/>
              </w:rPr>
              <w:t>浮动</w:t>
            </w:r>
            <w:r w:rsidRPr="00C97A3B">
              <w:rPr>
                <w:rFonts w:ascii="宋体" w:eastAsia="宋体" w:hAnsi="宋体"/>
                <w:sz w:val="21"/>
                <w:szCs w:val="21"/>
              </w:rPr>
              <w:t>收益型产品</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计划发行量</w:t>
            </w:r>
          </w:p>
        </w:tc>
        <w:tc>
          <w:tcPr>
            <w:tcW w:w="7513" w:type="dxa"/>
            <w:shd w:val="clear" w:color="auto" w:fill="auto"/>
            <w:tcMar>
              <w:top w:w="15" w:type="dxa"/>
              <w:left w:w="15" w:type="dxa"/>
              <w:bottom w:w="0" w:type="dxa"/>
              <w:right w:w="15" w:type="dxa"/>
            </w:tcMar>
            <w:vAlign w:val="center"/>
          </w:tcPr>
          <w:p w:rsidR="001266FE" w:rsidRPr="00C97A3B" w:rsidRDefault="006C78C8" w:rsidP="006D21FF">
            <w:pPr>
              <w:spacing w:line="240" w:lineRule="exact"/>
              <w:rPr>
                <w:rFonts w:ascii="宋体" w:eastAsia="宋体" w:hAnsi="宋体" w:cs="宋体"/>
                <w:sz w:val="21"/>
                <w:szCs w:val="21"/>
              </w:rPr>
            </w:pPr>
            <w:r>
              <w:rPr>
                <w:rFonts w:ascii="宋体" w:eastAsia="宋体" w:hAnsi="宋体" w:hint="eastAsia"/>
                <w:b/>
                <w:bCs/>
                <w:color w:val="FF0000"/>
                <w:sz w:val="21"/>
                <w:szCs w:val="21"/>
              </w:rPr>
              <w:t>2</w:t>
            </w:r>
            <w:r w:rsidR="001266FE" w:rsidRPr="00C97A3B">
              <w:rPr>
                <w:rFonts w:ascii="宋体" w:eastAsia="宋体" w:hAnsi="宋体" w:hint="eastAsia"/>
                <w:b/>
                <w:noProof/>
                <w:color w:val="FF0000"/>
                <w:sz w:val="21"/>
                <w:szCs w:val="21"/>
              </w:rPr>
              <w:t>亿</w:t>
            </w:r>
            <w:r w:rsidR="001266FE" w:rsidRPr="00C97A3B">
              <w:rPr>
                <w:rFonts w:ascii="宋体" w:eastAsia="宋体" w:hAnsi="宋体" w:hint="eastAsia"/>
                <w:b/>
                <w:color w:val="FF0000"/>
                <w:sz w:val="21"/>
                <w:szCs w:val="21"/>
              </w:rPr>
              <w:t>元</w:t>
            </w:r>
            <w:r w:rsidR="001266FE" w:rsidRPr="00C97A3B">
              <w:rPr>
                <w:rFonts w:ascii="宋体" w:eastAsia="宋体" w:hAnsi="宋体" w:hint="eastAsia"/>
                <w:sz w:val="21"/>
                <w:szCs w:val="21"/>
              </w:rPr>
              <w:t>，</w:t>
            </w:r>
            <w:r w:rsidR="00C03F41" w:rsidRPr="00C97A3B">
              <w:rPr>
                <w:rFonts w:ascii="宋体" w:eastAsia="宋体" w:hAnsi="宋体" w:hint="eastAsia"/>
                <w:sz w:val="21"/>
                <w:szCs w:val="21"/>
              </w:rPr>
              <w:t>平安银行</w:t>
            </w:r>
            <w:r w:rsidR="001266FE" w:rsidRPr="00C97A3B">
              <w:rPr>
                <w:rFonts w:ascii="宋体" w:eastAsia="宋体" w:hAnsi="宋体" w:hint="eastAsia"/>
                <w:sz w:val="21"/>
                <w:szCs w:val="21"/>
              </w:rPr>
              <w:t>有权按照实际情况进行调整。</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sz w:val="21"/>
                <w:szCs w:val="21"/>
              </w:rPr>
            </w:pPr>
            <w:r w:rsidRPr="00C97A3B">
              <w:rPr>
                <w:rFonts w:ascii="宋体" w:eastAsia="宋体" w:hAnsi="宋体"/>
                <w:sz w:val="21"/>
                <w:szCs w:val="21"/>
              </w:rPr>
              <w:t>单位金额</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sz w:val="21"/>
                <w:szCs w:val="21"/>
              </w:rPr>
            </w:pPr>
            <w:r w:rsidRPr="00C97A3B">
              <w:rPr>
                <w:rFonts w:ascii="宋体" w:eastAsia="宋体" w:hAnsi="宋体"/>
                <w:sz w:val="21"/>
                <w:szCs w:val="21"/>
              </w:rPr>
              <w:t>1元</w:t>
            </w:r>
            <w:r w:rsidRPr="00C97A3B">
              <w:rPr>
                <w:rFonts w:ascii="宋体" w:eastAsia="宋体" w:hAnsi="宋体" w:hint="eastAsia"/>
                <w:sz w:val="21"/>
                <w:szCs w:val="21"/>
              </w:rPr>
              <w:t>人民币</w:t>
            </w:r>
            <w:r w:rsidRPr="00C97A3B">
              <w:rPr>
                <w:rFonts w:ascii="宋体" w:eastAsia="宋体" w:hAnsi="宋体"/>
                <w:sz w:val="21"/>
                <w:szCs w:val="21"/>
              </w:rPr>
              <w:t>为1份</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sz w:val="21"/>
                <w:szCs w:val="21"/>
              </w:rPr>
            </w:pPr>
            <w:r w:rsidRPr="00C97A3B">
              <w:rPr>
                <w:rFonts w:ascii="宋体" w:eastAsia="宋体" w:hAnsi="宋体" w:hint="eastAsia"/>
                <w:sz w:val="21"/>
                <w:szCs w:val="21"/>
              </w:rPr>
              <w:t>认购起点金额</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sz w:val="21"/>
                <w:szCs w:val="21"/>
              </w:rPr>
            </w:pPr>
            <w:r w:rsidRPr="00C97A3B">
              <w:rPr>
                <w:rFonts w:ascii="宋体" w:eastAsia="宋体" w:hAnsi="宋体"/>
                <w:sz w:val="21"/>
                <w:szCs w:val="21"/>
              </w:rPr>
              <w:t>认购起点份额为</w:t>
            </w:r>
            <w:r w:rsidR="00822A19" w:rsidRPr="00C97A3B">
              <w:rPr>
                <w:rFonts w:ascii="宋体" w:eastAsia="宋体" w:hAnsi="宋体" w:hint="eastAsia"/>
                <w:sz w:val="21"/>
                <w:szCs w:val="21"/>
              </w:rPr>
              <w:t>100</w:t>
            </w:r>
            <w:r w:rsidRPr="00C97A3B">
              <w:rPr>
                <w:rFonts w:ascii="宋体" w:eastAsia="宋体" w:hAnsi="宋体" w:hint="eastAsia"/>
                <w:sz w:val="21"/>
                <w:szCs w:val="21"/>
              </w:rPr>
              <w:t>万</w:t>
            </w:r>
            <w:r w:rsidR="00505D05" w:rsidRPr="00C97A3B">
              <w:rPr>
                <w:rFonts w:ascii="宋体" w:eastAsia="宋体" w:hAnsi="宋体" w:hint="eastAsia"/>
                <w:sz w:val="21"/>
                <w:szCs w:val="21"/>
              </w:rPr>
              <w:t>份</w:t>
            </w:r>
            <w:r w:rsidRPr="00C97A3B">
              <w:rPr>
                <w:rFonts w:ascii="宋体" w:eastAsia="宋体" w:hAnsi="宋体"/>
                <w:sz w:val="21"/>
                <w:szCs w:val="21"/>
              </w:rPr>
              <w:t>，超出部分</w:t>
            </w:r>
            <w:r w:rsidRPr="00C97A3B">
              <w:rPr>
                <w:rFonts w:ascii="宋体" w:eastAsia="宋体" w:hAnsi="宋体" w:hint="eastAsia"/>
                <w:sz w:val="21"/>
                <w:szCs w:val="21"/>
              </w:rPr>
              <w:t>以</w:t>
            </w:r>
            <w:r w:rsidR="00E14E67" w:rsidRPr="00C97A3B">
              <w:rPr>
                <w:rFonts w:ascii="宋体" w:eastAsia="宋体" w:hAnsi="宋体" w:hint="eastAsia"/>
                <w:noProof/>
                <w:sz w:val="21"/>
                <w:szCs w:val="21"/>
              </w:rPr>
              <w:t>1</w:t>
            </w:r>
            <w:r w:rsidR="00822A19" w:rsidRPr="00C97A3B">
              <w:rPr>
                <w:rFonts w:ascii="宋体" w:eastAsia="宋体" w:hAnsi="宋体" w:hint="eastAsia"/>
                <w:noProof/>
                <w:sz w:val="21"/>
                <w:szCs w:val="21"/>
              </w:rPr>
              <w:t>万</w:t>
            </w:r>
            <w:r w:rsidR="00505D05" w:rsidRPr="00C97A3B">
              <w:rPr>
                <w:rFonts w:ascii="宋体" w:eastAsia="宋体" w:hAnsi="宋体" w:hint="eastAsia"/>
                <w:sz w:val="21"/>
                <w:szCs w:val="21"/>
              </w:rPr>
              <w:t>份</w:t>
            </w:r>
            <w:r w:rsidRPr="00C97A3B">
              <w:rPr>
                <w:rFonts w:ascii="宋体" w:eastAsia="宋体" w:hAnsi="宋体"/>
                <w:sz w:val="21"/>
                <w:szCs w:val="21"/>
              </w:rPr>
              <w:t>递增。</w:t>
            </w:r>
          </w:p>
        </w:tc>
      </w:tr>
      <w:tr w:rsidR="00DE44C2" w:rsidRPr="00C97A3B" w:rsidTr="00064FD6">
        <w:trPr>
          <w:trHeight w:val="242"/>
        </w:trPr>
        <w:tc>
          <w:tcPr>
            <w:tcW w:w="1702" w:type="dxa"/>
            <w:shd w:val="clear" w:color="auto" w:fill="auto"/>
            <w:noWrap/>
            <w:tcMar>
              <w:top w:w="15" w:type="dxa"/>
              <w:left w:w="15" w:type="dxa"/>
              <w:bottom w:w="0" w:type="dxa"/>
              <w:right w:w="15" w:type="dxa"/>
            </w:tcMar>
            <w:vAlign w:val="center"/>
          </w:tcPr>
          <w:p w:rsidR="00DE44C2" w:rsidRPr="00C97A3B" w:rsidRDefault="00DE44C2"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产品认购期</w:t>
            </w:r>
          </w:p>
        </w:tc>
        <w:tc>
          <w:tcPr>
            <w:tcW w:w="7513" w:type="dxa"/>
            <w:shd w:val="clear" w:color="auto" w:fill="auto"/>
            <w:tcMar>
              <w:top w:w="15" w:type="dxa"/>
              <w:left w:w="15" w:type="dxa"/>
              <w:bottom w:w="0" w:type="dxa"/>
              <w:right w:w="15" w:type="dxa"/>
            </w:tcMar>
            <w:vAlign w:val="center"/>
          </w:tcPr>
          <w:p w:rsidR="00DE44C2" w:rsidRPr="00C97A3B" w:rsidRDefault="00CB2369" w:rsidP="006D21FF">
            <w:pPr>
              <w:spacing w:line="240" w:lineRule="exact"/>
              <w:rPr>
                <w:rFonts w:ascii="宋体" w:eastAsia="宋体" w:hAnsi="宋体"/>
                <w:b/>
                <w:color w:val="FF0000"/>
                <w:sz w:val="21"/>
                <w:szCs w:val="21"/>
              </w:rPr>
            </w:pPr>
            <w:r w:rsidRPr="00C97A3B">
              <w:rPr>
                <w:rFonts w:ascii="宋体" w:eastAsia="宋体" w:hAnsi="宋体" w:hint="eastAsia"/>
                <w:b/>
                <w:bCs/>
                <w:color w:val="FF0000"/>
                <w:sz w:val="21"/>
                <w:szCs w:val="21"/>
              </w:rPr>
              <w:t>2013</w:t>
            </w:r>
            <w:r w:rsidR="00DE44C2" w:rsidRPr="00C97A3B">
              <w:rPr>
                <w:rFonts w:ascii="宋体" w:eastAsia="宋体" w:hAnsi="宋体" w:hint="eastAsia"/>
                <w:b/>
                <w:noProof/>
                <w:color w:val="FF0000"/>
                <w:sz w:val="21"/>
                <w:szCs w:val="21"/>
              </w:rPr>
              <w:t>年</w:t>
            </w:r>
            <w:r w:rsidR="00C97A3B" w:rsidRPr="00C97A3B">
              <w:rPr>
                <w:rFonts w:ascii="宋体" w:eastAsia="宋体" w:hAnsi="宋体" w:hint="eastAsia"/>
                <w:b/>
                <w:noProof/>
                <w:color w:val="FF0000"/>
                <w:sz w:val="21"/>
                <w:szCs w:val="21"/>
              </w:rPr>
              <w:t>11</w:t>
            </w:r>
            <w:r w:rsidR="00DE44C2" w:rsidRPr="00C97A3B">
              <w:rPr>
                <w:rFonts w:ascii="宋体" w:eastAsia="宋体" w:hAnsi="宋体" w:hint="eastAsia"/>
                <w:b/>
                <w:noProof/>
                <w:color w:val="FF0000"/>
                <w:sz w:val="21"/>
                <w:szCs w:val="21"/>
              </w:rPr>
              <w:t>月</w:t>
            </w:r>
            <w:r w:rsidR="00133B9E">
              <w:rPr>
                <w:rFonts w:ascii="宋体" w:eastAsia="宋体" w:hAnsi="宋体" w:hint="eastAsia"/>
                <w:b/>
                <w:noProof/>
                <w:color w:val="FF0000"/>
                <w:sz w:val="21"/>
                <w:szCs w:val="21"/>
              </w:rPr>
              <w:t>20</w:t>
            </w:r>
            <w:r w:rsidR="00DE44C2" w:rsidRPr="00C97A3B">
              <w:rPr>
                <w:rFonts w:ascii="宋体" w:eastAsia="宋体" w:hAnsi="宋体" w:hint="eastAsia"/>
                <w:b/>
                <w:noProof/>
                <w:color w:val="FF0000"/>
                <w:sz w:val="21"/>
                <w:szCs w:val="21"/>
              </w:rPr>
              <w:t>日-</w:t>
            </w:r>
            <w:r w:rsidRPr="00C97A3B">
              <w:rPr>
                <w:rFonts w:ascii="宋体" w:eastAsia="宋体" w:hAnsi="宋体" w:hint="eastAsia"/>
                <w:b/>
                <w:noProof/>
                <w:color w:val="FF0000"/>
                <w:sz w:val="21"/>
                <w:szCs w:val="21"/>
              </w:rPr>
              <w:t>2013</w:t>
            </w:r>
            <w:r w:rsidR="00DE44C2" w:rsidRPr="00C97A3B">
              <w:rPr>
                <w:rFonts w:ascii="宋体" w:eastAsia="宋体" w:hAnsi="宋体" w:hint="eastAsia"/>
                <w:b/>
                <w:noProof/>
                <w:color w:val="FF0000"/>
                <w:sz w:val="21"/>
                <w:szCs w:val="21"/>
              </w:rPr>
              <w:t>年</w:t>
            </w:r>
            <w:r w:rsidR="00C97A3B" w:rsidRPr="00C97A3B">
              <w:rPr>
                <w:rFonts w:ascii="宋体" w:eastAsia="宋体" w:hAnsi="宋体" w:hint="eastAsia"/>
                <w:b/>
                <w:noProof/>
                <w:color w:val="FF0000"/>
                <w:sz w:val="21"/>
                <w:szCs w:val="21"/>
              </w:rPr>
              <w:t>1</w:t>
            </w:r>
            <w:r w:rsidR="006C78C8">
              <w:rPr>
                <w:rFonts w:ascii="宋体" w:eastAsia="宋体" w:hAnsi="宋体" w:hint="eastAsia"/>
                <w:b/>
                <w:noProof/>
                <w:color w:val="FF0000"/>
                <w:sz w:val="21"/>
                <w:szCs w:val="21"/>
              </w:rPr>
              <w:t>1</w:t>
            </w:r>
            <w:r w:rsidR="00DE44C2" w:rsidRPr="00C97A3B">
              <w:rPr>
                <w:rFonts w:ascii="宋体" w:eastAsia="宋体" w:hAnsi="宋体" w:hint="eastAsia"/>
                <w:b/>
                <w:noProof/>
                <w:color w:val="FF0000"/>
                <w:sz w:val="21"/>
                <w:szCs w:val="21"/>
              </w:rPr>
              <w:t>月</w:t>
            </w:r>
            <w:r w:rsidR="00133B9E">
              <w:rPr>
                <w:rFonts w:ascii="宋体" w:eastAsia="宋体" w:hAnsi="宋体" w:hint="eastAsia"/>
                <w:b/>
                <w:noProof/>
                <w:color w:val="FF0000"/>
                <w:sz w:val="21"/>
                <w:szCs w:val="21"/>
              </w:rPr>
              <w:t>24</w:t>
            </w:r>
            <w:r w:rsidR="00DE44C2" w:rsidRPr="00C97A3B">
              <w:rPr>
                <w:rFonts w:ascii="宋体" w:eastAsia="宋体" w:hAnsi="宋体" w:hint="eastAsia"/>
                <w:b/>
                <w:noProof/>
                <w:color w:val="FF0000"/>
                <w:sz w:val="21"/>
                <w:szCs w:val="21"/>
              </w:rPr>
              <w:t>日</w:t>
            </w:r>
          </w:p>
          <w:p w:rsidR="00DE44C2" w:rsidRPr="00C97A3B" w:rsidRDefault="00C03F41" w:rsidP="006D21FF">
            <w:pPr>
              <w:spacing w:line="240" w:lineRule="exact"/>
              <w:rPr>
                <w:rFonts w:ascii="宋体" w:eastAsia="宋体" w:hAnsi="宋体"/>
                <w:sz w:val="21"/>
                <w:szCs w:val="21"/>
              </w:rPr>
            </w:pPr>
            <w:r w:rsidRPr="00C97A3B">
              <w:rPr>
                <w:rFonts w:ascii="宋体" w:eastAsia="宋体" w:hAnsi="宋体" w:hint="eastAsia"/>
                <w:spacing w:val="4"/>
                <w:sz w:val="21"/>
                <w:szCs w:val="21"/>
              </w:rPr>
              <w:t>平安银行</w:t>
            </w:r>
            <w:r w:rsidR="00DE44C2" w:rsidRPr="00C97A3B">
              <w:rPr>
                <w:rFonts w:ascii="宋体" w:eastAsia="宋体" w:hAnsi="宋体" w:hint="eastAsia"/>
                <w:spacing w:val="4"/>
                <w:sz w:val="21"/>
                <w:szCs w:val="21"/>
              </w:rPr>
              <w:t>保留延长或提前终止产品认购期的</w:t>
            </w:r>
            <w:r w:rsidR="00E94E6A" w:rsidRPr="00C97A3B">
              <w:rPr>
                <w:rFonts w:ascii="宋体" w:eastAsia="宋体" w:hAnsi="宋体" w:hint="eastAsia"/>
                <w:spacing w:val="4"/>
                <w:sz w:val="21"/>
                <w:szCs w:val="21"/>
              </w:rPr>
              <w:t>权利</w:t>
            </w:r>
            <w:r w:rsidR="00DE44C2" w:rsidRPr="00C97A3B">
              <w:rPr>
                <w:rFonts w:ascii="宋体" w:eastAsia="宋体" w:hAnsi="宋体" w:hint="eastAsia"/>
                <w:spacing w:val="4"/>
                <w:sz w:val="21"/>
                <w:szCs w:val="21"/>
              </w:rPr>
              <w:t>。如有变动，产品实际认购期以</w:t>
            </w:r>
            <w:r w:rsidRPr="00C97A3B">
              <w:rPr>
                <w:rFonts w:ascii="宋体" w:eastAsia="宋体" w:hAnsi="宋体" w:hint="eastAsia"/>
                <w:spacing w:val="4"/>
                <w:sz w:val="21"/>
                <w:szCs w:val="21"/>
              </w:rPr>
              <w:t>平安银行</w:t>
            </w:r>
            <w:r w:rsidR="00DE44C2" w:rsidRPr="00C97A3B">
              <w:rPr>
                <w:rFonts w:ascii="宋体" w:eastAsia="宋体" w:hAnsi="宋体" w:hint="eastAsia"/>
                <w:spacing w:val="4"/>
                <w:sz w:val="21"/>
                <w:szCs w:val="21"/>
              </w:rPr>
              <w:t>公告为准。</w:t>
            </w:r>
            <w:r w:rsidR="00DE44C2" w:rsidRPr="00C97A3B">
              <w:rPr>
                <w:rFonts w:ascii="宋体" w:eastAsia="宋体" w:hAnsi="宋体"/>
                <w:spacing w:val="4"/>
                <w:sz w:val="21"/>
                <w:szCs w:val="21"/>
              </w:rPr>
              <w:t>认购期结束，停止本理财产品销售。</w:t>
            </w:r>
          </w:p>
        </w:tc>
      </w:tr>
      <w:tr w:rsidR="00DE44C2" w:rsidRPr="00C97A3B" w:rsidTr="00064FD6">
        <w:trPr>
          <w:trHeight w:val="242"/>
        </w:trPr>
        <w:tc>
          <w:tcPr>
            <w:tcW w:w="1702" w:type="dxa"/>
            <w:shd w:val="clear" w:color="auto" w:fill="auto"/>
            <w:noWrap/>
            <w:tcMar>
              <w:top w:w="15" w:type="dxa"/>
              <w:left w:w="15" w:type="dxa"/>
              <w:bottom w:w="0" w:type="dxa"/>
              <w:right w:w="15" w:type="dxa"/>
            </w:tcMar>
            <w:vAlign w:val="center"/>
          </w:tcPr>
          <w:p w:rsidR="00DE44C2" w:rsidRPr="00C97A3B" w:rsidRDefault="00DE44C2" w:rsidP="006D21FF">
            <w:pPr>
              <w:spacing w:line="240" w:lineRule="exact"/>
              <w:jc w:val="center"/>
              <w:rPr>
                <w:rFonts w:ascii="宋体" w:eastAsia="宋体" w:hAnsi="宋体"/>
                <w:sz w:val="21"/>
                <w:szCs w:val="21"/>
              </w:rPr>
            </w:pPr>
            <w:r w:rsidRPr="00C97A3B">
              <w:rPr>
                <w:rFonts w:ascii="宋体" w:eastAsia="宋体" w:hAnsi="宋体" w:hint="eastAsia"/>
                <w:sz w:val="21"/>
                <w:szCs w:val="21"/>
              </w:rPr>
              <w:t>认购划款日</w:t>
            </w:r>
          </w:p>
        </w:tc>
        <w:tc>
          <w:tcPr>
            <w:tcW w:w="7513" w:type="dxa"/>
            <w:shd w:val="clear" w:color="auto" w:fill="auto"/>
            <w:tcMar>
              <w:top w:w="15" w:type="dxa"/>
              <w:left w:w="15" w:type="dxa"/>
              <w:bottom w:w="0" w:type="dxa"/>
              <w:right w:w="15" w:type="dxa"/>
            </w:tcMar>
            <w:vAlign w:val="center"/>
          </w:tcPr>
          <w:p w:rsidR="00DE44C2" w:rsidRPr="00C97A3B" w:rsidRDefault="00CB2369" w:rsidP="00133B9E">
            <w:pPr>
              <w:spacing w:line="240" w:lineRule="exact"/>
              <w:rPr>
                <w:rFonts w:ascii="宋体" w:eastAsia="宋体" w:hAnsi="宋体"/>
                <w:b/>
                <w:color w:val="FF0000"/>
                <w:sz w:val="21"/>
                <w:szCs w:val="21"/>
              </w:rPr>
            </w:pPr>
            <w:r w:rsidRPr="00C97A3B">
              <w:rPr>
                <w:rFonts w:ascii="宋体" w:eastAsia="宋体" w:hAnsi="宋体" w:hint="eastAsia"/>
                <w:b/>
                <w:bCs/>
                <w:color w:val="FF0000"/>
                <w:sz w:val="21"/>
                <w:szCs w:val="21"/>
              </w:rPr>
              <w:t>2013</w:t>
            </w:r>
            <w:r w:rsidR="00DE44C2" w:rsidRPr="00C97A3B">
              <w:rPr>
                <w:rFonts w:ascii="宋体" w:eastAsia="宋体" w:hAnsi="宋体"/>
                <w:b/>
                <w:noProof/>
                <w:color w:val="FF0000"/>
                <w:sz w:val="21"/>
                <w:szCs w:val="21"/>
              </w:rPr>
              <w:t>年</w:t>
            </w:r>
            <w:r w:rsidR="00C97A3B" w:rsidRPr="00C97A3B">
              <w:rPr>
                <w:rFonts w:ascii="宋体" w:eastAsia="宋体" w:hAnsi="宋体" w:hint="eastAsia"/>
                <w:b/>
                <w:noProof/>
                <w:color w:val="FF0000"/>
                <w:sz w:val="21"/>
                <w:szCs w:val="21"/>
              </w:rPr>
              <w:t>1</w:t>
            </w:r>
            <w:r w:rsidR="006C78C8">
              <w:rPr>
                <w:rFonts w:ascii="宋体" w:eastAsia="宋体" w:hAnsi="宋体" w:hint="eastAsia"/>
                <w:b/>
                <w:noProof/>
                <w:color w:val="FF0000"/>
                <w:sz w:val="21"/>
                <w:szCs w:val="21"/>
              </w:rPr>
              <w:t>1</w:t>
            </w:r>
            <w:r w:rsidR="00DE44C2" w:rsidRPr="00C97A3B">
              <w:rPr>
                <w:rFonts w:ascii="宋体" w:eastAsia="宋体" w:hAnsi="宋体"/>
                <w:b/>
                <w:noProof/>
                <w:color w:val="FF0000"/>
                <w:sz w:val="21"/>
                <w:szCs w:val="21"/>
              </w:rPr>
              <w:t>月</w:t>
            </w:r>
            <w:r w:rsidR="00133B9E">
              <w:rPr>
                <w:rFonts w:ascii="宋体" w:eastAsia="宋体" w:hAnsi="宋体" w:hint="eastAsia"/>
                <w:b/>
                <w:noProof/>
                <w:color w:val="FF0000"/>
                <w:sz w:val="21"/>
                <w:szCs w:val="21"/>
              </w:rPr>
              <w:t>25</w:t>
            </w:r>
            <w:r w:rsidR="00DE44C2" w:rsidRPr="00C97A3B">
              <w:rPr>
                <w:rFonts w:ascii="宋体" w:eastAsia="宋体" w:hAnsi="宋体"/>
                <w:b/>
                <w:noProof/>
                <w:color w:val="FF0000"/>
                <w:sz w:val="21"/>
                <w:szCs w:val="21"/>
              </w:rPr>
              <w:t>日</w:t>
            </w:r>
          </w:p>
        </w:tc>
      </w:tr>
      <w:tr w:rsidR="00DE44C2" w:rsidRPr="00C97A3B" w:rsidTr="00064FD6">
        <w:trPr>
          <w:trHeight w:val="242"/>
        </w:trPr>
        <w:tc>
          <w:tcPr>
            <w:tcW w:w="1702" w:type="dxa"/>
            <w:shd w:val="clear" w:color="auto" w:fill="auto"/>
            <w:noWrap/>
            <w:tcMar>
              <w:top w:w="15" w:type="dxa"/>
              <w:left w:w="15" w:type="dxa"/>
              <w:bottom w:w="0" w:type="dxa"/>
              <w:right w:w="15" w:type="dxa"/>
            </w:tcMar>
            <w:vAlign w:val="center"/>
          </w:tcPr>
          <w:p w:rsidR="00DE44C2" w:rsidRPr="00C97A3B" w:rsidRDefault="00DE44C2" w:rsidP="006D21FF">
            <w:pPr>
              <w:spacing w:line="240" w:lineRule="exact"/>
              <w:jc w:val="center"/>
              <w:rPr>
                <w:rFonts w:ascii="宋体" w:eastAsia="宋体" w:hAnsi="宋体"/>
                <w:sz w:val="21"/>
                <w:szCs w:val="21"/>
              </w:rPr>
            </w:pPr>
            <w:r w:rsidRPr="00C97A3B">
              <w:rPr>
                <w:rFonts w:ascii="宋体" w:eastAsia="宋体" w:hAnsi="宋体" w:hint="eastAsia"/>
                <w:sz w:val="21"/>
                <w:szCs w:val="21"/>
              </w:rPr>
              <w:t>产品成立</w:t>
            </w:r>
          </w:p>
        </w:tc>
        <w:tc>
          <w:tcPr>
            <w:tcW w:w="7513" w:type="dxa"/>
            <w:shd w:val="clear" w:color="auto" w:fill="auto"/>
            <w:tcMar>
              <w:top w:w="15" w:type="dxa"/>
              <w:left w:w="15" w:type="dxa"/>
              <w:bottom w:w="0" w:type="dxa"/>
              <w:right w:w="15" w:type="dxa"/>
            </w:tcMar>
            <w:vAlign w:val="center"/>
          </w:tcPr>
          <w:p w:rsidR="00DE44C2" w:rsidRPr="00C97A3B" w:rsidRDefault="00DE44C2" w:rsidP="006D21FF">
            <w:pPr>
              <w:spacing w:line="240" w:lineRule="exact"/>
              <w:rPr>
                <w:rFonts w:ascii="宋体" w:eastAsia="宋体" w:hAnsi="宋体"/>
                <w:sz w:val="21"/>
                <w:szCs w:val="21"/>
              </w:rPr>
            </w:pPr>
            <w:r w:rsidRPr="00C97A3B">
              <w:rPr>
                <w:rFonts w:ascii="宋体" w:eastAsia="宋体" w:hAnsi="宋体" w:hint="eastAsia"/>
                <w:bCs/>
                <w:iCs/>
                <w:sz w:val="21"/>
                <w:szCs w:val="21"/>
              </w:rPr>
              <w:t>银行有权结束募集并提前成立，产品提前成立时，银行将发布公告并调整相关日期，产品最终规模以银行实际募集金额为准。如募集期内认购规模未达到计划发行量，或因监管政策等原因导致产品无法成立时，则</w:t>
            </w:r>
            <w:r w:rsidR="00C03F41" w:rsidRPr="00C97A3B">
              <w:rPr>
                <w:rFonts w:ascii="宋体" w:eastAsia="宋体" w:hAnsi="宋体" w:hint="eastAsia"/>
                <w:bCs/>
                <w:iCs/>
                <w:sz w:val="21"/>
                <w:szCs w:val="21"/>
              </w:rPr>
              <w:t>平安银行</w:t>
            </w:r>
            <w:r w:rsidRPr="00C97A3B">
              <w:rPr>
                <w:rFonts w:ascii="宋体" w:eastAsia="宋体" w:hAnsi="宋体" w:hint="eastAsia"/>
                <w:bCs/>
                <w:iCs/>
                <w:sz w:val="21"/>
                <w:szCs w:val="21"/>
              </w:rPr>
              <w:t>有权宣布产品不成立，并将在3个工作日内将产品本金退还至客户认购账户。</w:t>
            </w:r>
          </w:p>
        </w:tc>
      </w:tr>
      <w:tr w:rsidR="00DE44C2" w:rsidRPr="00C97A3B" w:rsidTr="00064FD6">
        <w:trPr>
          <w:trHeight w:val="242"/>
        </w:trPr>
        <w:tc>
          <w:tcPr>
            <w:tcW w:w="1702" w:type="dxa"/>
            <w:shd w:val="clear" w:color="auto" w:fill="auto"/>
            <w:noWrap/>
            <w:tcMar>
              <w:top w:w="15" w:type="dxa"/>
              <w:left w:w="15" w:type="dxa"/>
              <w:bottom w:w="0" w:type="dxa"/>
              <w:right w:w="15" w:type="dxa"/>
            </w:tcMar>
            <w:vAlign w:val="center"/>
          </w:tcPr>
          <w:p w:rsidR="00DE44C2" w:rsidRPr="00C97A3B" w:rsidRDefault="00DE44C2"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产品成立日</w:t>
            </w:r>
          </w:p>
        </w:tc>
        <w:tc>
          <w:tcPr>
            <w:tcW w:w="7513" w:type="dxa"/>
            <w:shd w:val="clear" w:color="auto" w:fill="auto"/>
            <w:tcMar>
              <w:top w:w="15" w:type="dxa"/>
              <w:left w:w="15" w:type="dxa"/>
              <w:bottom w:w="0" w:type="dxa"/>
              <w:right w:w="15" w:type="dxa"/>
            </w:tcMar>
            <w:vAlign w:val="center"/>
          </w:tcPr>
          <w:p w:rsidR="00DE44C2" w:rsidRPr="00C97A3B" w:rsidRDefault="00CB2369" w:rsidP="00133B9E">
            <w:pPr>
              <w:spacing w:line="240" w:lineRule="exact"/>
              <w:rPr>
                <w:rFonts w:ascii="宋体" w:eastAsia="宋体" w:hAnsi="宋体"/>
                <w:color w:val="FF0000"/>
                <w:sz w:val="21"/>
                <w:szCs w:val="21"/>
              </w:rPr>
            </w:pPr>
            <w:r w:rsidRPr="00C97A3B">
              <w:rPr>
                <w:rFonts w:ascii="宋体" w:eastAsia="宋体" w:hAnsi="宋体" w:hint="eastAsia"/>
                <w:b/>
                <w:noProof/>
                <w:color w:val="FF0000"/>
                <w:sz w:val="21"/>
                <w:szCs w:val="21"/>
              </w:rPr>
              <w:t>2013</w:t>
            </w:r>
            <w:r w:rsidR="00DE44C2" w:rsidRPr="00C97A3B">
              <w:rPr>
                <w:rFonts w:ascii="宋体" w:eastAsia="宋体" w:hAnsi="宋体"/>
                <w:b/>
                <w:noProof/>
                <w:color w:val="FF0000"/>
                <w:sz w:val="21"/>
                <w:szCs w:val="21"/>
              </w:rPr>
              <w:t>年</w:t>
            </w:r>
            <w:r w:rsidR="00C97A3B" w:rsidRPr="00C97A3B">
              <w:rPr>
                <w:rFonts w:ascii="宋体" w:eastAsia="宋体" w:hAnsi="宋体" w:hint="eastAsia"/>
                <w:b/>
                <w:noProof/>
                <w:color w:val="FF0000"/>
                <w:sz w:val="21"/>
                <w:szCs w:val="21"/>
              </w:rPr>
              <w:t>1</w:t>
            </w:r>
            <w:r w:rsidR="006C78C8">
              <w:rPr>
                <w:rFonts w:ascii="宋体" w:eastAsia="宋体" w:hAnsi="宋体" w:hint="eastAsia"/>
                <w:b/>
                <w:noProof/>
                <w:color w:val="FF0000"/>
                <w:sz w:val="21"/>
                <w:szCs w:val="21"/>
              </w:rPr>
              <w:t>1</w:t>
            </w:r>
            <w:r w:rsidR="00DE44C2" w:rsidRPr="00C97A3B">
              <w:rPr>
                <w:rFonts w:ascii="宋体" w:eastAsia="宋体" w:hAnsi="宋体"/>
                <w:b/>
                <w:noProof/>
                <w:color w:val="FF0000"/>
                <w:sz w:val="21"/>
                <w:szCs w:val="21"/>
              </w:rPr>
              <w:t>月</w:t>
            </w:r>
            <w:r w:rsidR="00133B9E">
              <w:rPr>
                <w:rFonts w:ascii="宋体" w:eastAsia="宋体" w:hAnsi="宋体" w:hint="eastAsia"/>
                <w:b/>
                <w:noProof/>
                <w:color w:val="FF0000"/>
                <w:sz w:val="21"/>
                <w:szCs w:val="21"/>
              </w:rPr>
              <w:t>25</w:t>
            </w:r>
            <w:r w:rsidR="00DE44C2" w:rsidRPr="00C97A3B">
              <w:rPr>
                <w:rFonts w:ascii="宋体" w:eastAsia="宋体" w:hAnsi="宋体"/>
                <w:b/>
                <w:noProof/>
                <w:color w:val="FF0000"/>
                <w:sz w:val="21"/>
                <w:szCs w:val="21"/>
              </w:rPr>
              <w:t>日</w:t>
            </w:r>
            <w:r w:rsidR="00064FD6" w:rsidRPr="00C97A3B">
              <w:rPr>
                <w:rFonts w:ascii="宋体" w:eastAsia="宋体" w:hAnsi="宋体" w:hint="eastAsia"/>
                <w:noProof/>
                <w:color w:val="FF0000"/>
                <w:sz w:val="21"/>
                <w:szCs w:val="21"/>
              </w:rPr>
              <w:t>；</w:t>
            </w:r>
            <w:r w:rsidR="00DE44C2" w:rsidRPr="00C97A3B">
              <w:rPr>
                <w:rFonts w:ascii="宋体" w:eastAsia="宋体" w:hAnsi="宋体" w:hint="eastAsia"/>
                <w:spacing w:val="4"/>
                <w:sz w:val="21"/>
                <w:szCs w:val="21"/>
              </w:rPr>
              <w:t>如产品认购期提前终止或延长，实际成立日以</w:t>
            </w:r>
            <w:r w:rsidR="00C03F41" w:rsidRPr="00C97A3B">
              <w:rPr>
                <w:rFonts w:ascii="宋体" w:eastAsia="宋体" w:hAnsi="宋体" w:hint="eastAsia"/>
                <w:spacing w:val="4"/>
                <w:sz w:val="21"/>
                <w:szCs w:val="21"/>
              </w:rPr>
              <w:t>平安银行</w:t>
            </w:r>
            <w:r w:rsidR="00DE44C2" w:rsidRPr="00C97A3B">
              <w:rPr>
                <w:rFonts w:ascii="宋体" w:eastAsia="宋体" w:hAnsi="宋体" w:hint="eastAsia"/>
                <w:spacing w:val="4"/>
                <w:sz w:val="21"/>
                <w:szCs w:val="21"/>
              </w:rPr>
              <w:t>实际公告为准。</w:t>
            </w:r>
          </w:p>
        </w:tc>
      </w:tr>
      <w:tr w:rsidR="00DE44C2" w:rsidRPr="00C97A3B" w:rsidTr="00064FD6">
        <w:trPr>
          <w:trHeight w:val="242"/>
        </w:trPr>
        <w:tc>
          <w:tcPr>
            <w:tcW w:w="1702" w:type="dxa"/>
            <w:shd w:val="clear" w:color="auto" w:fill="auto"/>
            <w:noWrap/>
            <w:tcMar>
              <w:top w:w="15" w:type="dxa"/>
              <w:left w:w="15" w:type="dxa"/>
              <w:bottom w:w="0" w:type="dxa"/>
              <w:right w:w="15" w:type="dxa"/>
            </w:tcMar>
            <w:vAlign w:val="center"/>
          </w:tcPr>
          <w:p w:rsidR="00DE44C2" w:rsidRPr="00C97A3B" w:rsidRDefault="00DE44C2" w:rsidP="006D21FF">
            <w:pPr>
              <w:spacing w:line="240" w:lineRule="exact"/>
              <w:jc w:val="center"/>
              <w:rPr>
                <w:rFonts w:ascii="宋体" w:eastAsia="宋体" w:hAnsi="宋体"/>
                <w:sz w:val="21"/>
                <w:szCs w:val="21"/>
              </w:rPr>
            </w:pPr>
            <w:r w:rsidRPr="00C97A3B">
              <w:rPr>
                <w:rFonts w:ascii="宋体" w:eastAsia="宋体" w:hAnsi="宋体" w:hint="eastAsia"/>
                <w:sz w:val="21"/>
                <w:szCs w:val="21"/>
              </w:rPr>
              <w:t>产品到期日</w:t>
            </w:r>
          </w:p>
        </w:tc>
        <w:tc>
          <w:tcPr>
            <w:tcW w:w="7513" w:type="dxa"/>
            <w:shd w:val="clear" w:color="auto" w:fill="auto"/>
            <w:tcMar>
              <w:top w:w="15" w:type="dxa"/>
              <w:left w:w="15" w:type="dxa"/>
              <w:bottom w:w="0" w:type="dxa"/>
              <w:right w:w="15" w:type="dxa"/>
            </w:tcMar>
            <w:vAlign w:val="center"/>
          </w:tcPr>
          <w:p w:rsidR="00DE44C2" w:rsidRPr="00C97A3B" w:rsidRDefault="00CB2369" w:rsidP="00133B9E">
            <w:pPr>
              <w:spacing w:line="240" w:lineRule="exact"/>
              <w:rPr>
                <w:rFonts w:ascii="宋体" w:eastAsia="宋体" w:hAnsi="宋体"/>
                <w:color w:val="FF0000"/>
                <w:sz w:val="21"/>
                <w:szCs w:val="21"/>
              </w:rPr>
            </w:pPr>
            <w:r w:rsidRPr="00C97A3B">
              <w:rPr>
                <w:rFonts w:ascii="宋体" w:eastAsia="宋体" w:hAnsi="宋体" w:hint="eastAsia"/>
                <w:b/>
                <w:noProof/>
                <w:color w:val="FF0000"/>
                <w:sz w:val="21"/>
                <w:szCs w:val="21"/>
              </w:rPr>
              <w:t>201</w:t>
            </w:r>
            <w:r w:rsidR="00E220ED">
              <w:rPr>
                <w:rFonts w:ascii="宋体" w:eastAsia="宋体" w:hAnsi="宋体" w:hint="eastAsia"/>
                <w:b/>
                <w:noProof/>
                <w:color w:val="FF0000"/>
                <w:sz w:val="21"/>
                <w:szCs w:val="21"/>
              </w:rPr>
              <w:t>4</w:t>
            </w:r>
            <w:r w:rsidR="002279A3" w:rsidRPr="00C97A3B">
              <w:rPr>
                <w:rFonts w:ascii="宋体" w:eastAsia="宋体" w:hAnsi="宋体"/>
                <w:b/>
                <w:noProof/>
                <w:color w:val="FF0000"/>
                <w:sz w:val="21"/>
                <w:szCs w:val="21"/>
              </w:rPr>
              <w:t>年</w:t>
            </w:r>
            <w:r w:rsidR="00133B9E">
              <w:rPr>
                <w:rFonts w:ascii="宋体" w:eastAsia="宋体" w:hAnsi="宋体" w:hint="eastAsia"/>
                <w:b/>
                <w:noProof/>
                <w:color w:val="FF0000"/>
                <w:sz w:val="21"/>
                <w:szCs w:val="21"/>
              </w:rPr>
              <w:t>6</w:t>
            </w:r>
            <w:r w:rsidR="00DE44C2" w:rsidRPr="00C97A3B">
              <w:rPr>
                <w:rFonts w:ascii="宋体" w:eastAsia="宋体" w:hAnsi="宋体"/>
                <w:b/>
                <w:noProof/>
                <w:color w:val="FF0000"/>
                <w:sz w:val="21"/>
                <w:szCs w:val="21"/>
              </w:rPr>
              <w:t>月</w:t>
            </w:r>
            <w:r w:rsidR="00133B9E">
              <w:rPr>
                <w:rFonts w:ascii="宋体" w:eastAsia="宋体" w:hAnsi="宋体" w:hint="eastAsia"/>
                <w:b/>
                <w:noProof/>
                <w:color w:val="FF0000"/>
                <w:sz w:val="21"/>
                <w:szCs w:val="21"/>
              </w:rPr>
              <w:t>16</w:t>
            </w:r>
            <w:r w:rsidR="00DE44C2" w:rsidRPr="00C97A3B">
              <w:rPr>
                <w:rFonts w:ascii="宋体" w:eastAsia="宋体" w:hAnsi="宋体"/>
                <w:b/>
                <w:noProof/>
                <w:color w:val="FF0000"/>
                <w:sz w:val="21"/>
                <w:szCs w:val="21"/>
              </w:rPr>
              <w:t>日</w:t>
            </w:r>
            <w:r w:rsidR="00064FD6" w:rsidRPr="00C97A3B">
              <w:rPr>
                <w:rFonts w:ascii="宋体" w:eastAsia="宋体" w:hAnsi="宋体" w:hint="eastAsia"/>
                <w:color w:val="FF0000"/>
                <w:sz w:val="21"/>
                <w:szCs w:val="21"/>
              </w:rPr>
              <w:t>；</w:t>
            </w:r>
            <w:r w:rsidR="00C03F41" w:rsidRPr="00C97A3B">
              <w:rPr>
                <w:rFonts w:ascii="宋体" w:eastAsia="宋体" w:hAnsi="宋体" w:hint="eastAsia"/>
                <w:spacing w:val="4"/>
                <w:sz w:val="21"/>
                <w:szCs w:val="21"/>
              </w:rPr>
              <w:t>平安银行</w:t>
            </w:r>
            <w:r w:rsidR="00DE44C2" w:rsidRPr="00C97A3B">
              <w:rPr>
                <w:rFonts w:ascii="宋体" w:eastAsia="宋体" w:hAnsi="宋体" w:hint="eastAsia"/>
                <w:spacing w:val="4"/>
                <w:sz w:val="21"/>
                <w:szCs w:val="21"/>
              </w:rPr>
              <w:t>有权行使提前终止权和延期终止权，若确需行使，</w:t>
            </w:r>
            <w:r w:rsidR="00C03F41" w:rsidRPr="00C97A3B">
              <w:rPr>
                <w:rFonts w:ascii="宋体" w:eastAsia="宋体" w:hAnsi="宋体" w:hint="eastAsia"/>
                <w:spacing w:val="4"/>
                <w:sz w:val="21"/>
                <w:szCs w:val="21"/>
              </w:rPr>
              <w:t>平安银行</w:t>
            </w:r>
            <w:r w:rsidR="00DE44C2" w:rsidRPr="00C97A3B">
              <w:rPr>
                <w:rFonts w:ascii="宋体" w:eastAsia="宋体" w:hAnsi="宋体" w:hint="eastAsia"/>
                <w:spacing w:val="4"/>
                <w:sz w:val="21"/>
                <w:szCs w:val="21"/>
              </w:rPr>
              <w:t>将另行公告。</w:t>
            </w:r>
          </w:p>
        </w:tc>
      </w:tr>
      <w:tr w:rsidR="00DE44C2" w:rsidRPr="00C97A3B" w:rsidTr="00064FD6">
        <w:trPr>
          <w:trHeight w:val="242"/>
        </w:trPr>
        <w:tc>
          <w:tcPr>
            <w:tcW w:w="1702" w:type="dxa"/>
            <w:shd w:val="clear" w:color="auto" w:fill="auto"/>
            <w:noWrap/>
            <w:tcMar>
              <w:top w:w="15" w:type="dxa"/>
              <w:left w:w="15" w:type="dxa"/>
              <w:bottom w:w="0" w:type="dxa"/>
              <w:right w:w="15" w:type="dxa"/>
            </w:tcMar>
            <w:vAlign w:val="center"/>
          </w:tcPr>
          <w:p w:rsidR="00DE44C2" w:rsidRPr="00C97A3B" w:rsidRDefault="00DE44C2" w:rsidP="006D21FF">
            <w:pPr>
              <w:spacing w:line="240" w:lineRule="exact"/>
              <w:ind w:firstLineChars="200" w:firstLine="420"/>
              <w:rPr>
                <w:rFonts w:ascii="宋体" w:eastAsia="宋体" w:hAnsi="宋体"/>
                <w:sz w:val="21"/>
                <w:szCs w:val="21"/>
              </w:rPr>
            </w:pPr>
            <w:r w:rsidRPr="00C97A3B">
              <w:rPr>
                <w:rFonts w:ascii="宋体" w:eastAsia="宋体" w:hAnsi="宋体" w:hint="eastAsia"/>
                <w:sz w:val="21"/>
                <w:szCs w:val="21"/>
              </w:rPr>
              <w:t>资金到账日</w:t>
            </w:r>
          </w:p>
        </w:tc>
        <w:tc>
          <w:tcPr>
            <w:tcW w:w="7513" w:type="dxa"/>
            <w:shd w:val="clear" w:color="auto" w:fill="auto"/>
            <w:tcMar>
              <w:top w:w="15" w:type="dxa"/>
              <w:left w:w="15" w:type="dxa"/>
              <w:bottom w:w="0" w:type="dxa"/>
              <w:right w:w="15" w:type="dxa"/>
            </w:tcMar>
            <w:vAlign w:val="center"/>
          </w:tcPr>
          <w:p w:rsidR="00DE44C2" w:rsidRPr="00C97A3B" w:rsidRDefault="00DE44C2" w:rsidP="006D21FF">
            <w:pPr>
              <w:spacing w:line="240" w:lineRule="exact"/>
              <w:rPr>
                <w:rFonts w:ascii="宋体" w:eastAsia="宋体" w:hAnsi="宋体"/>
                <w:spacing w:val="4"/>
                <w:sz w:val="21"/>
                <w:szCs w:val="21"/>
              </w:rPr>
            </w:pPr>
            <w:r w:rsidRPr="00C97A3B">
              <w:rPr>
                <w:rFonts w:ascii="宋体" w:eastAsia="宋体" w:hAnsi="宋体" w:hint="eastAsia"/>
                <w:spacing w:val="4"/>
                <w:sz w:val="21"/>
                <w:szCs w:val="21"/>
              </w:rPr>
              <w:t>产品</w:t>
            </w:r>
            <w:r w:rsidRPr="00C97A3B">
              <w:rPr>
                <w:rFonts w:ascii="宋体" w:eastAsia="宋体" w:hAnsi="宋体"/>
                <w:spacing w:val="4"/>
                <w:sz w:val="21"/>
                <w:szCs w:val="21"/>
              </w:rPr>
              <w:t>到期日、提前终止日</w:t>
            </w:r>
            <w:r w:rsidRPr="00C97A3B">
              <w:rPr>
                <w:rFonts w:ascii="宋体" w:eastAsia="宋体" w:hAnsi="宋体" w:hint="eastAsia"/>
                <w:spacing w:val="4"/>
                <w:sz w:val="21"/>
                <w:szCs w:val="21"/>
              </w:rPr>
              <w:t>或延期终止日</w:t>
            </w:r>
            <w:r w:rsidRPr="00C97A3B">
              <w:rPr>
                <w:rFonts w:ascii="宋体" w:eastAsia="宋体" w:hAnsi="宋体"/>
                <w:spacing w:val="4"/>
                <w:sz w:val="21"/>
                <w:szCs w:val="21"/>
              </w:rPr>
              <w:t>后</w:t>
            </w:r>
            <w:r w:rsidRPr="00C97A3B">
              <w:rPr>
                <w:rFonts w:ascii="宋体" w:eastAsia="宋体" w:hAnsi="宋体" w:hint="eastAsia"/>
                <w:spacing w:val="4"/>
                <w:sz w:val="21"/>
                <w:szCs w:val="21"/>
              </w:rPr>
              <w:t>2</w:t>
            </w:r>
            <w:r w:rsidRPr="00C97A3B">
              <w:rPr>
                <w:rFonts w:ascii="宋体" w:eastAsia="宋体" w:hAnsi="宋体"/>
                <w:spacing w:val="4"/>
                <w:sz w:val="21"/>
                <w:szCs w:val="21"/>
              </w:rPr>
              <w:t>个工作日（T+</w:t>
            </w:r>
            <w:r w:rsidRPr="00C97A3B">
              <w:rPr>
                <w:rFonts w:ascii="宋体" w:eastAsia="宋体" w:hAnsi="宋体" w:hint="eastAsia"/>
                <w:spacing w:val="4"/>
                <w:sz w:val="21"/>
                <w:szCs w:val="21"/>
              </w:rPr>
              <w:t>2</w:t>
            </w:r>
            <w:r w:rsidRPr="00C97A3B">
              <w:rPr>
                <w:rFonts w:ascii="宋体" w:eastAsia="宋体" w:hAnsi="宋体"/>
                <w:spacing w:val="4"/>
                <w:sz w:val="21"/>
                <w:szCs w:val="21"/>
              </w:rPr>
              <w:t>）内将本金</w:t>
            </w:r>
            <w:r w:rsidRPr="00C97A3B">
              <w:rPr>
                <w:rFonts w:ascii="宋体" w:eastAsia="宋体" w:hAnsi="宋体" w:hint="eastAsia"/>
                <w:spacing w:val="4"/>
                <w:sz w:val="21"/>
                <w:szCs w:val="21"/>
              </w:rPr>
              <w:t>和收益</w:t>
            </w:r>
            <w:r w:rsidRPr="00C97A3B">
              <w:rPr>
                <w:rFonts w:ascii="宋体" w:eastAsia="宋体" w:hAnsi="宋体"/>
                <w:spacing w:val="4"/>
                <w:sz w:val="21"/>
                <w:szCs w:val="21"/>
              </w:rPr>
              <w:t>划转到投资者指定账户，逢节假日顺延。</w:t>
            </w:r>
          </w:p>
        </w:tc>
      </w:tr>
      <w:tr w:rsidR="001C1189" w:rsidRPr="00C97A3B" w:rsidTr="00064FD6">
        <w:trPr>
          <w:trHeight w:val="242"/>
        </w:trPr>
        <w:tc>
          <w:tcPr>
            <w:tcW w:w="1702" w:type="dxa"/>
            <w:shd w:val="clear" w:color="auto" w:fill="auto"/>
            <w:noWrap/>
            <w:tcMar>
              <w:top w:w="15" w:type="dxa"/>
              <w:left w:w="15" w:type="dxa"/>
              <w:bottom w:w="0" w:type="dxa"/>
              <w:right w:w="15" w:type="dxa"/>
            </w:tcMar>
            <w:vAlign w:val="center"/>
          </w:tcPr>
          <w:p w:rsidR="001C1189" w:rsidRPr="00C97A3B" w:rsidRDefault="00921695" w:rsidP="006D21FF">
            <w:pPr>
              <w:spacing w:line="240" w:lineRule="exact"/>
              <w:rPr>
                <w:rFonts w:ascii="宋体" w:eastAsia="宋体" w:hAnsi="宋体"/>
                <w:sz w:val="21"/>
                <w:szCs w:val="21"/>
              </w:rPr>
            </w:pPr>
            <w:r w:rsidRPr="00C97A3B">
              <w:rPr>
                <w:rFonts w:ascii="宋体" w:eastAsia="宋体" w:hAnsi="宋体" w:hint="eastAsia"/>
                <w:sz w:val="21"/>
                <w:szCs w:val="21"/>
              </w:rPr>
              <w:t>理财资产管理人</w:t>
            </w:r>
          </w:p>
        </w:tc>
        <w:tc>
          <w:tcPr>
            <w:tcW w:w="7513" w:type="dxa"/>
            <w:shd w:val="clear" w:color="auto" w:fill="auto"/>
            <w:tcMar>
              <w:top w:w="15" w:type="dxa"/>
              <w:left w:w="15" w:type="dxa"/>
              <w:bottom w:w="0" w:type="dxa"/>
              <w:right w:w="15" w:type="dxa"/>
            </w:tcMar>
            <w:vAlign w:val="center"/>
          </w:tcPr>
          <w:p w:rsidR="001C1189" w:rsidRPr="00C97A3B" w:rsidRDefault="00C03F41" w:rsidP="006D21FF">
            <w:pPr>
              <w:spacing w:line="240" w:lineRule="exact"/>
              <w:rPr>
                <w:rFonts w:ascii="宋体" w:eastAsia="宋体" w:hAnsi="宋体"/>
                <w:spacing w:val="4"/>
                <w:sz w:val="21"/>
                <w:szCs w:val="21"/>
              </w:rPr>
            </w:pPr>
            <w:r w:rsidRPr="00C97A3B">
              <w:rPr>
                <w:rFonts w:ascii="宋体" w:eastAsia="宋体" w:hAnsi="宋体" w:hint="eastAsia"/>
                <w:spacing w:val="4"/>
                <w:sz w:val="21"/>
                <w:szCs w:val="21"/>
              </w:rPr>
              <w:t>平安银行</w:t>
            </w:r>
            <w:r w:rsidR="00E94E6A" w:rsidRPr="00C97A3B">
              <w:rPr>
                <w:rFonts w:ascii="宋体" w:eastAsia="宋体" w:hAnsi="宋体" w:hint="eastAsia"/>
                <w:spacing w:val="4"/>
                <w:sz w:val="21"/>
                <w:szCs w:val="21"/>
              </w:rPr>
              <w:t>股份有限公司</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sz w:val="21"/>
                <w:szCs w:val="21"/>
              </w:rPr>
            </w:pPr>
            <w:r w:rsidRPr="00C97A3B">
              <w:rPr>
                <w:rFonts w:ascii="宋体" w:eastAsia="宋体" w:hAnsi="宋体" w:hint="eastAsia"/>
                <w:sz w:val="21"/>
                <w:szCs w:val="21"/>
              </w:rPr>
              <w:t>收益率测算</w:t>
            </w:r>
          </w:p>
        </w:tc>
        <w:tc>
          <w:tcPr>
            <w:tcW w:w="7513" w:type="dxa"/>
            <w:shd w:val="clear" w:color="auto" w:fill="auto"/>
            <w:tcMar>
              <w:top w:w="15" w:type="dxa"/>
              <w:left w:w="15" w:type="dxa"/>
              <w:bottom w:w="0" w:type="dxa"/>
              <w:right w:w="15" w:type="dxa"/>
            </w:tcMar>
            <w:vAlign w:val="center"/>
          </w:tcPr>
          <w:p w:rsidR="001266FE" w:rsidRPr="00C97A3B" w:rsidRDefault="001266FE" w:rsidP="00133B9E">
            <w:pPr>
              <w:widowControl/>
              <w:spacing w:line="240" w:lineRule="exact"/>
              <w:jc w:val="left"/>
              <w:rPr>
                <w:rFonts w:ascii="宋体" w:eastAsia="宋体" w:hAnsi="宋体" w:cs="Arial"/>
                <w:snapToGrid w:val="0"/>
                <w:sz w:val="21"/>
                <w:szCs w:val="21"/>
              </w:rPr>
            </w:pPr>
            <w:r w:rsidRPr="00C97A3B">
              <w:rPr>
                <w:rFonts w:ascii="宋体" w:eastAsia="宋体" w:hAnsi="宋体" w:hint="eastAsia"/>
                <w:color w:val="000000"/>
                <w:sz w:val="21"/>
                <w:szCs w:val="21"/>
              </w:rPr>
              <w:t>根据当期可投资资产收益率</w:t>
            </w:r>
            <w:r w:rsidRPr="00C97A3B">
              <w:rPr>
                <w:rFonts w:ascii="宋体" w:eastAsia="宋体" w:hAnsi="宋体" w:cs="Arial" w:hint="eastAsia"/>
                <w:snapToGrid w:val="0"/>
                <w:sz w:val="21"/>
                <w:szCs w:val="21"/>
              </w:rPr>
              <w:t>，扣除产品的成本，本期理财产品预期最高年化收益率为</w:t>
            </w:r>
            <w:r w:rsidR="00133B9E">
              <w:rPr>
                <w:rFonts w:ascii="宋体" w:eastAsia="宋体" w:hAnsi="宋体" w:hint="eastAsia"/>
                <w:b/>
                <w:color w:val="FF0000"/>
                <w:sz w:val="21"/>
                <w:szCs w:val="21"/>
              </w:rPr>
              <w:t>6.00</w:t>
            </w:r>
            <w:r w:rsidR="006C78C8">
              <w:rPr>
                <w:rFonts w:ascii="宋体" w:eastAsia="宋体" w:hAnsi="宋体" w:hint="eastAsia"/>
                <w:b/>
                <w:color w:val="FF0000"/>
                <w:sz w:val="21"/>
                <w:szCs w:val="21"/>
              </w:rPr>
              <w:t>%</w:t>
            </w:r>
            <w:r w:rsidRPr="00C97A3B">
              <w:rPr>
                <w:rFonts w:ascii="宋体" w:eastAsia="宋体" w:hAnsi="宋体" w:cs="Arial" w:hint="eastAsia"/>
                <w:snapToGrid w:val="0"/>
                <w:sz w:val="21"/>
                <w:szCs w:val="21"/>
              </w:rPr>
              <w:t>。</w:t>
            </w:r>
            <w:r w:rsidRPr="00C97A3B">
              <w:rPr>
                <w:rFonts w:ascii="宋体" w:eastAsia="宋体" w:hAnsi="宋体" w:hint="eastAsia"/>
                <w:sz w:val="21"/>
                <w:szCs w:val="21"/>
              </w:rPr>
              <w:t>超过预期最高年化收益率的收益部分作为</w:t>
            </w:r>
            <w:r w:rsidR="00C03F41" w:rsidRPr="00C97A3B">
              <w:rPr>
                <w:rFonts w:ascii="宋体" w:eastAsia="宋体" w:hAnsi="宋体" w:hint="eastAsia"/>
                <w:sz w:val="21"/>
                <w:szCs w:val="21"/>
              </w:rPr>
              <w:t>平安银行</w:t>
            </w:r>
            <w:r w:rsidRPr="00C97A3B">
              <w:rPr>
                <w:rFonts w:ascii="宋体" w:eastAsia="宋体" w:hAnsi="宋体" w:hint="eastAsia"/>
                <w:sz w:val="21"/>
                <w:szCs w:val="21"/>
              </w:rPr>
              <w:t>的</w:t>
            </w:r>
            <w:r w:rsidR="00AE52D4" w:rsidRPr="00C97A3B">
              <w:rPr>
                <w:rFonts w:ascii="宋体" w:eastAsia="宋体" w:hAnsi="宋体" w:hint="eastAsia"/>
                <w:sz w:val="21"/>
                <w:szCs w:val="21"/>
              </w:rPr>
              <w:t>资产管理费</w:t>
            </w:r>
            <w:r w:rsidRPr="00C97A3B">
              <w:rPr>
                <w:rFonts w:ascii="宋体" w:eastAsia="宋体" w:hAnsi="宋体" w:hint="eastAsia"/>
                <w:sz w:val="21"/>
                <w:szCs w:val="21"/>
              </w:rPr>
              <w:t>。</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sz w:val="21"/>
                <w:szCs w:val="21"/>
              </w:rPr>
            </w:pPr>
            <w:r w:rsidRPr="00C97A3B">
              <w:rPr>
                <w:rFonts w:ascii="宋体" w:eastAsia="宋体" w:hAnsi="宋体" w:hint="eastAsia"/>
                <w:sz w:val="21"/>
                <w:szCs w:val="21"/>
              </w:rPr>
              <w:t>产品认购</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sz w:val="21"/>
                <w:szCs w:val="21"/>
              </w:rPr>
            </w:pPr>
            <w:r w:rsidRPr="00C97A3B">
              <w:rPr>
                <w:rFonts w:ascii="宋体" w:eastAsia="宋体" w:hAnsi="宋体" w:hint="eastAsia"/>
                <w:sz w:val="21"/>
                <w:szCs w:val="21"/>
              </w:rPr>
              <w:t>所有符合本理财产品投资要求的投资者均可携带本人身份证件及</w:t>
            </w:r>
            <w:r w:rsidR="00CB2369" w:rsidRPr="00C97A3B">
              <w:rPr>
                <w:rFonts w:ascii="宋体" w:eastAsia="宋体" w:hAnsi="宋体" w:hint="eastAsia"/>
                <w:sz w:val="21"/>
                <w:szCs w:val="21"/>
              </w:rPr>
              <w:t>平安</w:t>
            </w:r>
            <w:r w:rsidRPr="00C97A3B">
              <w:rPr>
                <w:rFonts w:ascii="宋体" w:eastAsia="宋体" w:hAnsi="宋体" w:hint="eastAsia"/>
                <w:sz w:val="21"/>
                <w:szCs w:val="21"/>
              </w:rPr>
              <w:t>借记卡到</w:t>
            </w:r>
            <w:r w:rsidR="00C03F41" w:rsidRPr="00C97A3B">
              <w:rPr>
                <w:rFonts w:ascii="宋体" w:eastAsia="宋体" w:hAnsi="宋体" w:hint="eastAsia"/>
                <w:sz w:val="21"/>
                <w:szCs w:val="21"/>
              </w:rPr>
              <w:t>平安银行</w:t>
            </w:r>
            <w:r w:rsidRPr="00C97A3B">
              <w:rPr>
                <w:rFonts w:ascii="宋体" w:eastAsia="宋体" w:hAnsi="宋体" w:hint="eastAsia"/>
                <w:sz w:val="21"/>
                <w:szCs w:val="21"/>
              </w:rPr>
              <w:t>各营业网点</w:t>
            </w:r>
            <w:r w:rsidR="006D21FF">
              <w:rPr>
                <w:rFonts w:ascii="宋体" w:eastAsia="宋体" w:hAnsi="宋体" w:hint="eastAsia"/>
                <w:sz w:val="21"/>
                <w:szCs w:val="21"/>
              </w:rPr>
              <w:t>、网上银行</w:t>
            </w:r>
            <w:r w:rsidRPr="00C97A3B">
              <w:rPr>
                <w:rFonts w:ascii="宋体" w:eastAsia="宋体" w:hAnsi="宋体" w:hint="eastAsia"/>
                <w:sz w:val="21"/>
                <w:szCs w:val="21"/>
              </w:rPr>
              <w:t>办理认购手续</w:t>
            </w:r>
            <w:r w:rsidR="00754118" w:rsidRPr="00C97A3B">
              <w:rPr>
                <w:rFonts w:ascii="宋体" w:eastAsia="宋体" w:hAnsi="宋体" w:hint="eastAsia"/>
                <w:sz w:val="21"/>
                <w:szCs w:val="21"/>
              </w:rPr>
              <w:t>。</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sz w:val="21"/>
                <w:szCs w:val="21"/>
              </w:rPr>
            </w:pPr>
            <w:r w:rsidRPr="00C97A3B">
              <w:rPr>
                <w:rFonts w:ascii="宋体" w:eastAsia="宋体" w:hAnsi="宋体" w:hint="eastAsia"/>
                <w:sz w:val="21"/>
                <w:szCs w:val="21"/>
              </w:rPr>
              <w:t>提前和延期终止权</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sz w:val="21"/>
                <w:szCs w:val="21"/>
              </w:rPr>
            </w:pPr>
            <w:r w:rsidRPr="00C97A3B">
              <w:rPr>
                <w:rFonts w:ascii="宋体" w:eastAsia="宋体" w:hAnsi="宋体"/>
                <w:sz w:val="21"/>
                <w:szCs w:val="21"/>
              </w:rPr>
              <w:t>理财期内，投资者无提前终止本理财计划的权利。</w:t>
            </w:r>
            <w:r w:rsidR="00C03F41" w:rsidRPr="00C97A3B">
              <w:rPr>
                <w:rFonts w:ascii="宋体" w:eastAsia="宋体" w:hAnsi="宋体"/>
                <w:sz w:val="21"/>
                <w:szCs w:val="21"/>
              </w:rPr>
              <w:t>平安银行</w:t>
            </w:r>
            <w:r w:rsidRPr="00C97A3B">
              <w:rPr>
                <w:rFonts w:ascii="宋体" w:eastAsia="宋体" w:hAnsi="宋体"/>
                <w:sz w:val="21"/>
                <w:szCs w:val="21"/>
              </w:rPr>
              <w:t>对本产品保留</w:t>
            </w:r>
            <w:r w:rsidRPr="00C97A3B">
              <w:rPr>
                <w:rFonts w:ascii="宋体" w:eastAsia="宋体" w:hAnsi="宋体" w:hint="eastAsia"/>
                <w:sz w:val="21"/>
                <w:szCs w:val="21"/>
              </w:rPr>
              <w:t>：根据市场情况选择在理财期内任一天提前终止产品的权利，以及在产品到期日延期结束产品的权利。银行在提前终止日或者在产品到期日前2个工作日发布信息公告。</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lastRenderedPageBreak/>
              <w:t>工作日</w:t>
            </w:r>
          </w:p>
        </w:tc>
        <w:tc>
          <w:tcPr>
            <w:tcW w:w="7513" w:type="dxa"/>
            <w:shd w:val="clear" w:color="auto" w:fill="auto"/>
            <w:tcMar>
              <w:top w:w="15" w:type="dxa"/>
              <w:left w:w="15" w:type="dxa"/>
              <w:bottom w:w="0" w:type="dxa"/>
              <w:right w:w="15" w:type="dxa"/>
            </w:tcMar>
            <w:vAlign w:val="center"/>
          </w:tcPr>
          <w:p w:rsidR="001266FE" w:rsidRPr="00C97A3B" w:rsidRDefault="008C2327" w:rsidP="006D21FF">
            <w:pPr>
              <w:adjustRightInd w:val="0"/>
              <w:snapToGrid w:val="0"/>
              <w:spacing w:line="240" w:lineRule="exact"/>
              <w:textAlignment w:val="center"/>
              <w:rPr>
                <w:rFonts w:ascii="宋体" w:eastAsia="宋体" w:hAnsi="宋体" w:cs="宋体"/>
                <w:sz w:val="21"/>
                <w:szCs w:val="21"/>
              </w:rPr>
            </w:pPr>
            <w:r w:rsidRPr="00C97A3B">
              <w:rPr>
                <w:rFonts w:ascii="宋体" w:eastAsia="宋体" w:hAnsi="宋体" w:cs="Arial" w:hint="eastAsia"/>
                <w:snapToGrid w:val="0"/>
                <w:sz w:val="21"/>
                <w:szCs w:val="21"/>
              </w:rPr>
              <w:t>除国家法定节假日外的金融机构正常工作日</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cs="宋体" w:hint="eastAsia"/>
                <w:sz w:val="21"/>
                <w:szCs w:val="21"/>
              </w:rPr>
              <w:t>收益计算方法</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spacing w:val="4"/>
                <w:sz w:val="21"/>
                <w:szCs w:val="21"/>
              </w:rPr>
            </w:pPr>
            <w:r w:rsidRPr="00C97A3B">
              <w:rPr>
                <w:rFonts w:ascii="宋体" w:eastAsia="宋体" w:hAnsi="宋体" w:hint="eastAsia"/>
                <w:spacing w:val="4"/>
                <w:sz w:val="21"/>
                <w:szCs w:val="21"/>
              </w:rPr>
              <w:t>正常（延期）到期：产品实际收益</w:t>
            </w:r>
            <w:r w:rsidR="00CB2369" w:rsidRPr="00C97A3B">
              <w:rPr>
                <w:rFonts w:ascii="宋体" w:eastAsia="宋体" w:hAnsi="宋体" w:hint="eastAsia"/>
                <w:spacing w:val="4"/>
                <w:sz w:val="21"/>
                <w:szCs w:val="21"/>
              </w:rPr>
              <w:t>=</w:t>
            </w:r>
            <w:r w:rsidRPr="00C97A3B">
              <w:rPr>
                <w:rFonts w:ascii="宋体" w:eastAsia="宋体" w:hAnsi="宋体" w:hint="eastAsia"/>
                <w:spacing w:val="4"/>
                <w:sz w:val="21"/>
                <w:szCs w:val="21"/>
              </w:rPr>
              <w:t>投资本金×当期实际</w:t>
            </w:r>
            <w:r w:rsidRPr="00C97A3B">
              <w:rPr>
                <w:rFonts w:ascii="宋体" w:eastAsia="宋体" w:hAnsi="宋体" w:hint="eastAsia"/>
                <w:sz w:val="21"/>
                <w:szCs w:val="21"/>
              </w:rPr>
              <w:t>年化收益率</w:t>
            </w:r>
            <w:r w:rsidR="008C2327" w:rsidRPr="00C97A3B">
              <w:rPr>
                <w:rFonts w:ascii="宋体" w:eastAsia="宋体" w:hAnsi="宋体" w:hint="eastAsia"/>
                <w:sz w:val="21"/>
                <w:szCs w:val="21"/>
              </w:rPr>
              <w:t>（以</w:t>
            </w:r>
            <w:r w:rsidR="008C2327" w:rsidRPr="00C97A3B">
              <w:rPr>
                <w:rFonts w:ascii="宋体" w:eastAsia="宋体" w:hAnsi="宋体" w:cs="Arial" w:hint="eastAsia"/>
                <w:snapToGrid w:val="0"/>
                <w:sz w:val="21"/>
                <w:szCs w:val="21"/>
              </w:rPr>
              <w:t>预期最高年化收益率为限</w:t>
            </w:r>
            <w:r w:rsidR="008C2327" w:rsidRPr="00C97A3B">
              <w:rPr>
                <w:rFonts w:ascii="宋体" w:eastAsia="宋体" w:hAnsi="宋体" w:hint="eastAsia"/>
                <w:sz w:val="21"/>
                <w:szCs w:val="21"/>
              </w:rPr>
              <w:t>）</w:t>
            </w:r>
            <w:r w:rsidRPr="00C97A3B">
              <w:rPr>
                <w:rFonts w:ascii="宋体" w:eastAsia="宋体" w:hAnsi="宋体" w:hint="eastAsia"/>
                <w:spacing w:val="4"/>
                <w:sz w:val="21"/>
                <w:szCs w:val="21"/>
              </w:rPr>
              <w:t>/365×当期存续天数</w:t>
            </w:r>
          </w:p>
          <w:p w:rsidR="001266FE" w:rsidRPr="00C97A3B" w:rsidRDefault="001266FE" w:rsidP="006D21FF">
            <w:pPr>
              <w:spacing w:line="240" w:lineRule="exact"/>
              <w:rPr>
                <w:rFonts w:ascii="宋体" w:eastAsia="宋体" w:hAnsi="宋体"/>
                <w:spacing w:val="4"/>
                <w:sz w:val="21"/>
                <w:szCs w:val="21"/>
              </w:rPr>
            </w:pPr>
            <w:r w:rsidRPr="00C97A3B">
              <w:rPr>
                <w:rFonts w:ascii="宋体" w:eastAsia="宋体" w:hAnsi="宋体" w:hint="eastAsia"/>
                <w:spacing w:val="4"/>
                <w:sz w:val="21"/>
                <w:szCs w:val="21"/>
              </w:rPr>
              <w:t>提前终止：产品实际收益</w:t>
            </w:r>
            <w:r w:rsidR="00CB2369" w:rsidRPr="00C97A3B">
              <w:rPr>
                <w:rFonts w:ascii="宋体" w:eastAsia="宋体" w:hAnsi="宋体" w:hint="eastAsia"/>
                <w:spacing w:val="4"/>
                <w:sz w:val="21"/>
                <w:szCs w:val="21"/>
              </w:rPr>
              <w:t>=</w:t>
            </w:r>
            <w:r w:rsidRPr="00C97A3B">
              <w:rPr>
                <w:rFonts w:ascii="宋体" w:eastAsia="宋体" w:hAnsi="宋体" w:hint="eastAsia"/>
                <w:spacing w:val="4"/>
                <w:sz w:val="21"/>
                <w:szCs w:val="21"/>
              </w:rPr>
              <w:t>投资本金×当期实际</w:t>
            </w:r>
            <w:r w:rsidRPr="00C97A3B">
              <w:rPr>
                <w:rFonts w:ascii="宋体" w:eastAsia="宋体" w:hAnsi="宋体" w:hint="eastAsia"/>
                <w:sz w:val="21"/>
                <w:szCs w:val="21"/>
              </w:rPr>
              <w:t>年化收益率</w:t>
            </w:r>
            <w:r w:rsidR="008C2327" w:rsidRPr="00C97A3B">
              <w:rPr>
                <w:rFonts w:ascii="宋体" w:eastAsia="宋体" w:hAnsi="宋体" w:hint="eastAsia"/>
                <w:sz w:val="21"/>
                <w:szCs w:val="21"/>
              </w:rPr>
              <w:t>（以</w:t>
            </w:r>
            <w:r w:rsidR="008C2327" w:rsidRPr="00C97A3B">
              <w:rPr>
                <w:rFonts w:ascii="宋体" w:eastAsia="宋体" w:hAnsi="宋体" w:cs="Arial" w:hint="eastAsia"/>
                <w:snapToGrid w:val="0"/>
                <w:sz w:val="21"/>
                <w:szCs w:val="21"/>
              </w:rPr>
              <w:t>预期最高年化收益率为限</w:t>
            </w:r>
            <w:r w:rsidR="008C2327" w:rsidRPr="00C97A3B">
              <w:rPr>
                <w:rFonts w:ascii="宋体" w:eastAsia="宋体" w:hAnsi="宋体" w:hint="eastAsia"/>
                <w:sz w:val="21"/>
                <w:szCs w:val="21"/>
              </w:rPr>
              <w:t>）</w:t>
            </w:r>
            <w:r w:rsidRPr="00C97A3B">
              <w:rPr>
                <w:rFonts w:ascii="宋体" w:eastAsia="宋体" w:hAnsi="宋体" w:hint="eastAsia"/>
                <w:spacing w:val="4"/>
                <w:sz w:val="21"/>
                <w:szCs w:val="21"/>
              </w:rPr>
              <w:t>/365×实际存续天数</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税款</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cs="宋体"/>
                <w:sz w:val="21"/>
                <w:szCs w:val="21"/>
              </w:rPr>
            </w:pPr>
            <w:r w:rsidRPr="00C97A3B">
              <w:rPr>
                <w:rFonts w:ascii="宋体" w:eastAsia="宋体" w:hAnsi="宋体" w:hint="eastAsia"/>
                <w:sz w:val="21"/>
                <w:szCs w:val="21"/>
              </w:rPr>
              <w:t>理财收益的应纳税款由投资者自行申报及缴纳</w:t>
            </w:r>
          </w:p>
        </w:tc>
      </w:tr>
      <w:tr w:rsidR="001266FE" w:rsidRPr="00C97A3B" w:rsidTr="00064FD6">
        <w:trPr>
          <w:trHeight w:val="1153"/>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contextualSpacing/>
              <w:mirrorIndents/>
              <w:jc w:val="center"/>
              <w:rPr>
                <w:rFonts w:ascii="宋体" w:eastAsia="宋体" w:hAnsi="宋体" w:cs="宋体"/>
                <w:sz w:val="21"/>
                <w:szCs w:val="21"/>
              </w:rPr>
            </w:pPr>
            <w:r w:rsidRPr="00C97A3B">
              <w:rPr>
                <w:rFonts w:ascii="宋体" w:eastAsia="宋体" w:hAnsi="宋体" w:hint="eastAsia"/>
                <w:sz w:val="21"/>
                <w:szCs w:val="21"/>
              </w:rPr>
              <w:t>其他规定</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contextualSpacing/>
              <w:mirrorIndents/>
              <w:rPr>
                <w:rFonts w:ascii="宋体" w:eastAsia="宋体" w:hAnsi="宋体"/>
                <w:snapToGrid w:val="0"/>
                <w:color w:val="000000"/>
                <w:sz w:val="21"/>
                <w:szCs w:val="21"/>
              </w:rPr>
            </w:pPr>
            <w:r w:rsidRPr="00C97A3B">
              <w:rPr>
                <w:rFonts w:ascii="宋体" w:eastAsia="宋体" w:hAnsi="宋体" w:hint="eastAsia"/>
                <w:sz w:val="21"/>
                <w:szCs w:val="21"/>
              </w:rPr>
              <w:t>产品认购期、认购划款日、产品成立日、产品到期日等日期，</w:t>
            </w:r>
            <w:r w:rsidR="00C03F41" w:rsidRPr="00C97A3B">
              <w:rPr>
                <w:rFonts w:ascii="宋体" w:eastAsia="宋体" w:hAnsi="宋体" w:hint="eastAsia"/>
                <w:sz w:val="21"/>
                <w:szCs w:val="21"/>
              </w:rPr>
              <w:t>平安银行</w:t>
            </w:r>
            <w:r w:rsidRPr="00C97A3B">
              <w:rPr>
                <w:rFonts w:ascii="宋体" w:eastAsia="宋体" w:hAnsi="宋体" w:hint="eastAsia"/>
                <w:sz w:val="21"/>
                <w:szCs w:val="21"/>
              </w:rPr>
              <w:t>有权根据节假日进行调整，并以实际公布为准。</w:t>
            </w:r>
            <w:r w:rsidRPr="00C97A3B">
              <w:rPr>
                <w:rFonts w:ascii="宋体" w:eastAsia="宋体" w:hAnsi="宋体" w:hint="eastAsia"/>
                <w:spacing w:val="4"/>
                <w:sz w:val="21"/>
                <w:szCs w:val="21"/>
              </w:rPr>
              <w:t>产品理财期内</w:t>
            </w:r>
            <w:r w:rsidRPr="00C97A3B">
              <w:rPr>
                <w:rFonts w:ascii="宋体" w:eastAsia="宋体" w:hAnsi="宋体"/>
                <w:spacing w:val="4"/>
                <w:sz w:val="21"/>
                <w:szCs w:val="21"/>
              </w:rPr>
              <w:t>，认购划款日至</w:t>
            </w:r>
            <w:r w:rsidRPr="00C97A3B">
              <w:rPr>
                <w:rFonts w:ascii="宋体" w:eastAsia="宋体" w:hAnsi="宋体" w:hint="eastAsia"/>
                <w:spacing w:val="4"/>
                <w:sz w:val="21"/>
                <w:szCs w:val="21"/>
              </w:rPr>
              <w:t>产品成立日</w:t>
            </w:r>
            <w:r w:rsidRPr="00C97A3B">
              <w:rPr>
                <w:rFonts w:ascii="宋体" w:eastAsia="宋体" w:hAnsi="宋体"/>
                <w:spacing w:val="4"/>
                <w:sz w:val="21"/>
                <w:szCs w:val="21"/>
              </w:rPr>
              <w:t>为认购清算期，</w:t>
            </w:r>
            <w:r w:rsidRPr="00C97A3B">
              <w:rPr>
                <w:rFonts w:ascii="宋体" w:eastAsia="宋体" w:hAnsi="宋体" w:hint="eastAsia"/>
                <w:spacing w:val="4"/>
                <w:sz w:val="21"/>
                <w:szCs w:val="21"/>
              </w:rPr>
              <w:t>产品</w:t>
            </w:r>
            <w:r w:rsidRPr="00C97A3B">
              <w:rPr>
                <w:rFonts w:ascii="宋体" w:eastAsia="宋体" w:hAnsi="宋体"/>
                <w:spacing w:val="4"/>
                <w:sz w:val="21"/>
                <w:szCs w:val="21"/>
              </w:rPr>
              <w:t>到期日至</w:t>
            </w:r>
            <w:r w:rsidRPr="00C97A3B">
              <w:rPr>
                <w:rFonts w:ascii="宋体" w:eastAsia="宋体" w:hAnsi="宋体" w:hint="eastAsia"/>
                <w:spacing w:val="4"/>
                <w:sz w:val="21"/>
                <w:szCs w:val="21"/>
              </w:rPr>
              <w:t>资金</w:t>
            </w:r>
            <w:r w:rsidRPr="00C97A3B">
              <w:rPr>
                <w:rFonts w:ascii="宋体" w:eastAsia="宋体" w:hAnsi="宋体"/>
                <w:spacing w:val="4"/>
                <w:sz w:val="21"/>
                <w:szCs w:val="21"/>
              </w:rPr>
              <w:t>到账日为还本清算期，提前终止日至</w:t>
            </w:r>
            <w:r w:rsidRPr="00C97A3B">
              <w:rPr>
                <w:rFonts w:ascii="宋体" w:eastAsia="宋体" w:hAnsi="宋体" w:hint="eastAsia"/>
                <w:spacing w:val="4"/>
                <w:sz w:val="21"/>
                <w:szCs w:val="21"/>
              </w:rPr>
              <w:t>资金</w:t>
            </w:r>
            <w:r w:rsidRPr="00C97A3B">
              <w:rPr>
                <w:rFonts w:ascii="宋体" w:eastAsia="宋体" w:hAnsi="宋体"/>
                <w:spacing w:val="4"/>
                <w:sz w:val="21"/>
                <w:szCs w:val="21"/>
              </w:rPr>
              <w:t>到账日为提前终止清算期（若银行提前终止理财）</w:t>
            </w:r>
            <w:r w:rsidRPr="00C97A3B">
              <w:rPr>
                <w:rFonts w:ascii="宋体" w:eastAsia="宋体" w:hAnsi="宋体" w:hint="eastAsia"/>
                <w:spacing w:val="4"/>
                <w:sz w:val="21"/>
                <w:szCs w:val="21"/>
              </w:rPr>
              <w:t>，延期</w:t>
            </w:r>
            <w:r w:rsidRPr="00C97A3B">
              <w:rPr>
                <w:rFonts w:ascii="宋体" w:eastAsia="宋体" w:hAnsi="宋体"/>
                <w:spacing w:val="4"/>
                <w:sz w:val="21"/>
                <w:szCs w:val="21"/>
              </w:rPr>
              <w:t>终止日至</w:t>
            </w:r>
            <w:r w:rsidRPr="00C97A3B">
              <w:rPr>
                <w:rFonts w:ascii="宋体" w:eastAsia="宋体" w:hAnsi="宋体" w:hint="eastAsia"/>
                <w:spacing w:val="4"/>
                <w:sz w:val="21"/>
                <w:szCs w:val="21"/>
              </w:rPr>
              <w:t>资金</w:t>
            </w:r>
            <w:r w:rsidRPr="00C97A3B">
              <w:rPr>
                <w:rFonts w:ascii="宋体" w:eastAsia="宋体" w:hAnsi="宋体"/>
                <w:spacing w:val="4"/>
                <w:sz w:val="21"/>
                <w:szCs w:val="21"/>
              </w:rPr>
              <w:t>到账日为</w:t>
            </w:r>
            <w:r w:rsidRPr="00C97A3B">
              <w:rPr>
                <w:rFonts w:ascii="宋体" w:eastAsia="宋体" w:hAnsi="宋体" w:hint="eastAsia"/>
                <w:spacing w:val="4"/>
                <w:sz w:val="21"/>
                <w:szCs w:val="21"/>
              </w:rPr>
              <w:t>延期</w:t>
            </w:r>
            <w:r w:rsidRPr="00C97A3B">
              <w:rPr>
                <w:rFonts w:ascii="宋体" w:eastAsia="宋体" w:hAnsi="宋体"/>
                <w:spacing w:val="4"/>
                <w:sz w:val="21"/>
                <w:szCs w:val="21"/>
              </w:rPr>
              <w:t>终止清算期（若银行</w:t>
            </w:r>
            <w:r w:rsidRPr="00C97A3B">
              <w:rPr>
                <w:rFonts w:ascii="宋体" w:eastAsia="宋体" w:hAnsi="宋体" w:hint="eastAsia"/>
                <w:spacing w:val="4"/>
                <w:sz w:val="21"/>
                <w:szCs w:val="21"/>
              </w:rPr>
              <w:t>延期</w:t>
            </w:r>
            <w:r w:rsidRPr="00C97A3B">
              <w:rPr>
                <w:rFonts w:ascii="宋体" w:eastAsia="宋体" w:hAnsi="宋体"/>
                <w:spacing w:val="4"/>
                <w:sz w:val="21"/>
                <w:szCs w:val="21"/>
              </w:rPr>
              <w:t>终止理财）。上述清算期内均不计付</w:t>
            </w:r>
            <w:r w:rsidRPr="00C97A3B">
              <w:rPr>
                <w:rFonts w:ascii="宋体" w:eastAsia="宋体" w:hAnsi="宋体" w:hint="eastAsia"/>
                <w:spacing w:val="4"/>
                <w:sz w:val="21"/>
                <w:szCs w:val="21"/>
              </w:rPr>
              <w:t>收益</w:t>
            </w:r>
            <w:r w:rsidRPr="00C97A3B">
              <w:rPr>
                <w:rFonts w:ascii="宋体" w:eastAsia="宋体" w:hAnsi="宋体"/>
                <w:spacing w:val="4"/>
                <w:sz w:val="21"/>
                <w:szCs w:val="21"/>
              </w:rPr>
              <w:t>。</w:t>
            </w:r>
          </w:p>
        </w:tc>
      </w:tr>
    </w:tbl>
    <w:p w:rsidR="00BA145E" w:rsidRPr="00C97A3B" w:rsidRDefault="003E1110" w:rsidP="006C78C8">
      <w:pPr>
        <w:ind w:leftChars="-142" w:left="-426"/>
        <w:contextualSpacing/>
        <w:mirrorIndents/>
        <w:rPr>
          <w:rFonts w:ascii="宋体" w:eastAsia="宋体" w:hAnsi="宋体"/>
          <w:b/>
          <w:sz w:val="24"/>
          <w:szCs w:val="24"/>
        </w:rPr>
      </w:pPr>
      <w:r w:rsidRPr="00C97A3B">
        <w:rPr>
          <w:rFonts w:ascii="宋体" w:eastAsia="宋体" w:hAnsi="宋体" w:hint="eastAsia"/>
          <w:b/>
          <w:sz w:val="24"/>
          <w:szCs w:val="24"/>
        </w:rPr>
        <w:t>二、投资对象</w:t>
      </w:r>
    </w:p>
    <w:p w:rsidR="00E449C8" w:rsidRDefault="006C78C8" w:rsidP="00E449C8">
      <w:pPr>
        <w:pStyle w:val="a5"/>
        <w:adjustRightInd/>
        <w:snapToGrid/>
        <w:ind w:leftChars="-143" w:left="-429" w:rightChars="-161" w:right="-483"/>
        <w:contextualSpacing/>
        <w:mirrorIndents/>
        <w:rPr>
          <w:rFonts w:ascii="宋体" w:hAnsi="宋体" w:cs="Times New Roman"/>
          <w:color w:val="000000"/>
        </w:rPr>
      </w:pPr>
      <w:r>
        <w:rPr>
          <w:rFonts w:ascii="宋体" w:hAnsi="宋体" w:cs="Times New Roman" w:hint="eastAsia"/>
          <w:color w:val="000000"/>
        </w:rPr>
        <w:t>私行专享尊贵</w:t>
      </w:r>
      <w:r w:rsidR="00021D75">
        <w:rPr>
          <w:rFonts w:ascii="宋体" w:hAnsi="宋体" w:cs="Times New Roman" w:hint="eastAsia"/>
          <w:color w:val="000000"/>
        </w:rPr>
        <w:t>智慧资产管理类</w:t>
      </w:r>
      <w:r w:rsidR="00397781" w:rsidRPr="00C97A3B">
        <w:rPr>
          <w:rFonts w:ascii="宋体" w:hAnsi="宋体" w:cs="Times New Roman" w:hint="eastAsia"/>
          <w:color w:val="000000"/>
        </w:rPr>
        <w:t>人民币理财产品投资于</w:t>
      </w:r>
      <w:r w:rsidR="00397781" w:rsidRPr="00C97A3B">
        <w:rPr>
          <w:rFonts w:ascii="宋体" w:hAnsi="宋体" w:cs="Times New Roman"/>
          <w:color w:val="000000"/>
        </w:rPr>
        <w:t>符合监管要求的</w:t>
      </w:r>
      <w:r w:rsidR="00397781" w:rsidRPr="00C97A3B">
        <w:rPr>
          <w:rFonts w:ascii="宋体" w:hAnsi="宋体" w:cs="Times New Roman" w:hint="eastAsia"/>
          <w:color w:val="000000"/>
        </w:rPr>
        <w:t>固定收益类资产、权益类资产以及其他资产或资产组合，其中：（</w:t>
      </w:r>
      <w:r w:rsidR="00397781" w:rsidRPr="00C97A3B">
        <w:rPr>
          <w:rFonts w:ascii="宋体" w:hAnsi="宋体" w:cs="Times New Roman"/>
          <w:color w:val="000000"/>
        </w:rPr>
        <w:t>1</w:t>
      </w:r>
      <w:r w:rsidR="00397781" w:rsidRPr="00C97A3B">
        <w:rPr>
          <w:rFonts w:ascii="宋体" w:hAnsi="宋体" w:cs="Times New Roman" w:hint="eastAsia"/>
          <w:color w:val="000000"/>
        </w:rPr>
        <w:t>）固定收益类资产，</w:t>
      </w:r>
      <w:r w:rsidR="00397781" w:rsidRPr="00C97A3B">
        <w:rPr>
          <w:rFonts w:ascii="宋体" w:hAnsi="宋体" w:cs="Times New Roman"/>
          <w:color w:val="000000"/>
        </w:rPr>
        <w:t>包括但不限于各类债券、存款、货币市场基金、债券基金、质押式回购等</w:t>
      </w:r>
      <w:r w:rsidR="00397781" w:rsidRPr="00C97A3B">
        <w:rPr>
          <w:rFonts w:ascii="宋体" w:hAnsi="宋体" w:cs="Times New Roman" w:hint="eastAsia"/>
          <w:color w:val="000000"/>
        </w:rPr>
        <w:t>货币市场工具以及标准化或非标准化债权资产等；（</w:t>
      </w:r>
      <w:r w:rsidR="00397781" w:rsidRPr="00C97A3B">
        <w:rPr>
          <w:rFonts w:ascii="宋体" w:hAnsi="宋体" w:cs="Times New Roman"/>
          <w:color w:val="000000"/>
        </w:rPr>
        <w:t>2</w:t>
      </w:r>
      <w:r w:rsidR="00397781" w:rsidRPr="00C97A3B">
        <w:rPr>
          <w:rFonts w:ascii="宋体" w:hAnsi="宋体" w:cs="Times New Roman" w:hint="eastAsia"/>
          <w:color w:val="000000"/>
        </w:rPr>
        <w:t>）权益类资产，</w:t>
      </w:r>
      <w:r w:rsidR="00397781" w:rsidRPr="00C97A3B">
        <w:rPr>
          <w:rFonts w:ascii="宋体" w:hAnsi="宋体" w:cs="Times New Roman"/>
          <w:color w:val="000000"/>
        </w:rPr>
        <w:t>包括但不限于</w:t>
      </w:r>
      <w:r w:rsidR="00397781" w:rsidRPr="00C97A3B">
        <w:rPr>
          <w:rFonts w:ascii="宋体" w:hAnsi="宋体" w:cs="Times New Roman" w:hint="eastAsia"/>
          <w:color w:val="000000"/>
        </w:rPr>
        <w:t>以新股申购、定向增发、股票及股票收益权、非上市公司股权（收益权）等为基础资产的金融产品、证券投资基金、证券（债券）投资结构化产品的优先或劣后级受益权、股权投资信托计划及资产管理计划等；（</w:t>
      </w:r>
      <w:r w:rsidR="00397781" w:rsidRPr="00C97A3B">
        <w:rPr>
          <w:rFonts w:ascii="宋体" w:hAnsi="宋体" w:cs="Times New Roman"/>
          <w:color w:val="000000"/>
        </w:rPr>
        <w:t>3</w:t>
      </w:r>
      <w:r w:rsidR="00397781" w:rsidRPr="00C97A3B">
        <w:rPr>
          <w:rFonts w:ascii="宋体" w:hAnsi="宋体" w:cs="Times New Roman" w:hint="eastAsia"/>
          <w:color w:val="000000"/>
        </w:rPr>
        <w:t>）其他资产或者资产组合，</w:t>
      </w:r>
      <w:r w:rsidR="00397781" w:rsidRPr="00C97A3B">
        <w:rPr>
          <w:rFonts w:ascii="宋体" w:hAnsi="宋体" w:cs="Times New Roman"/>
          <w:color w:val="000000"/>
        </w:rPr>
        <w:t>包括但不限于</w:t>
      </w:r>
      <w:r w:rsidR="00397781" w:rsidRPr="00C97A3B">
        <w:rPr>
          <w:rFonts w:ascii="宋体" w:hAnsi="宋体" w:cs="Times New Roman" w:hint="eastAsia"/>
          <w:color w:val="000000"/>
        </w:rPr>
        <w:t>信托计划、证券公司定向资产管理计划、证券公司集合资产管理计划、证券公司专项资产管理计划、基金管理公司特定客户资产管理计划、</w:t>
      </w:r>
      <w:r w:rsidR="006D21FF">
        <w:rPr>
          <w:rFonts w:ascii="宋体" w:hAnsi="宋体" w:cs="Times New Roman" w:hint="eastAsia"/>
          <w:color w:val="000000"/>
        </w:rPr>
        <w:t>保险（资产）管理公司资产管理计划以及法律法规允许的其他投资工具。</w:t>
      </w:r>
    </w:p>
    <w:p w:rsidR="00E94E6A" w:rsidRPr="006D21FF" w:rsidRDefault="00E94E6A" w:rsidP="00E449C8">
      <w:pPr>
        <w:pStyle w:val="a5"/>
        <w:adjustRightInd/>
        <w:snapToGrid/>
        <w:ind w:leftChars="-143" w:left="-429" w:rightChars="-161" w:right="-483"/>
        <w:contextualSpacing/>
        <w:mirrorIndents/>
        <w:rPr>
          <w:rFonts w:ascii="宋体" w:hAnsi="宋体" w:cs="Times New Roman"/>
          <w:color w:val="000000"/>
        </w:rPr>
      </w:pPr>
      <w:r w:rsidRPr="00C97A3B">
        <w:rPr>
          <w:rFonts w:ascii="宋体" w:hAnsi="宋体"/>
          <w:color w:val="000000"/>
        </w:rPr>
        <w:t>本产品</w:t>
      </w:r>
      <w:r w:rsidR="00AF35F6" w:rsidRPr="00C97A3B">
        <w:rPr>
          <w:rFonts w:ascii="宋体" w:hAnsi="宋体" w:hint="eastAsia"/>
          <w:color w:val="000000"/>
        </w:rPr>
        <w:t>各投资资产种类的投资比例如下，可在</w:t>
      </w:r>
      <w:r w:rsidR="00AF35F6" w:rsidRPr="00C97A3B">
        <w:rPr>
          <w:rFonts w:ascii="宋体" w:hAnsi="宋体"/>
          <w:color w:val="000000"/>
        </w:rPr>
        <w:t>[-10%,+10%]</w:t>
      </w:r>
      <w:r w:rsidR="00AF35F6" w:rsidRPr="00C97A3B">
        <w:rPr>
          <w:rFonts w:ascii="宋体" w:hAnsi="宋体" w:hint="eastAsia"/>
          <w:color w:val="000000"/>
        </w:rPr>
        <w:t>的区间内浮动</w:t>
      </w:r>
      <w:r w:rsidRPr="00C97A3B">
        <w:rPr>
          <w:rFonts w:ascii="宋体" w:hAnsi="宋体"/>
          <w:color w:val="000000"/>
        </w:rPr>
        <w:t xml:space="preserve">： </w:t>
      </w:r>
    </w:p>
    <w:tbl>
      <w:tblPr>
        <w:tblW w:w="5407" w:type="pct"/>
        <w:tblInd w:w="-318" w:type="dxa"/>
        <w:tblLook w:val="04A0"/>
      </w:tblPr>
      <w:tblGrid>
        <w:gridCol w:w="3744"/>
        <w:gridCol w:w="5472"/>
      </w:tblGrid>
      <w:tr w:rsidR="00E94E6A" w:rsidRPr="00C97A3B" w:rsidTr="00E449C8">
        <w:trPr>
          <w:trHeight w:val="204"/>
        </w:trPr>
        <w:tc>
          <w:tcPr>
            <w:tcW w:w="2031" w:type="pct"/>
            <w:tcBorders>
              <w:top w:val="single" w:sz="8" w:space="0" w:color="auto"/>
              <w:left w:val="single" w:sz="8" w:space="0" w:color="auto"/>
              <w:bottom w:val="single" w:sz="8" w:space="0" w:color="auto"/>
              <w:right w:val="single" w:sz="8" w:space="0" w:color="auto"/>
            </w:tcBorders>
            <w:vAlign w:val="center"/>
            <w:hideMark/>
          </w:tcPr>
          <w:p w:rsidR="00E94E6A" w:rsidRPr="00E449C8" w:rsidRDefault="00E94E6A" w:rsidP="00397781">
            <w:pPr>
              <w:tabs>
                <w:tab w:val="left" w:pos="0"/>
              </w:tabs>
              <w:contextualSpacing/>
              <w:mirrorIndents/>
              <w:rPr>
                <w:rFonts w:ascii="宋体" w:eastAsia="宋体" w:hAnsi="宋体"/>
                <w:b/>
                <w:snapToGrid w:val="0"/>
                <w:color w:val="000000"/>
                <w:sz w:val="21"/>
                <w:szCs w:val="21"/>
              </w:rPr>
            </w:pPr>
            <w:r w:rsidRPr="00E449C8">
              <w:rPr>
                <w:rFonts w:ascii="宋体" w:eastAsia="宋体" w:hAnsi="宋体" w:hint="eastAsia"/>
                <w:b/>
                <w:snapToGrid w:val="0"/>
                <w:color w:val="000000"/>
                <w:sz w:val="21"/>
                <w:szCs w:val="21"/>
              </w:rPr>
              <w:t>资产类别</w:t>
            </w:r>
          </w:p>
        </w:tc>
        <w:tc>
          <w:tcPr>
            <w:tcW w:w="2969" w:type="pct"/>
            <w:tcBorders>
              <w:top w:val="single" w:sz="8" w:space="0" w:color="auto"/>
              <w:left w:val="nil"/>
              <w:bottom w:val="single" w:sz="8" w:space="0" w:color="auto"/>
              <w:right w:val="single" w:sz="8" w:space="0" w:color="auto"/>
            </w:tcBorders>
            <w:vAlign w:val="center"/>
            <w:hideMark/>
          </w:tcPr>
          <w:p w:rsidR="00E94E6A" w:rsidRPr="00E449C8" w:rsidRDefault="00E94E6A" w:rsidP="00397781">
            <w:pPr>
              <w:tabs>
                <w:tab w:val="left" w:pos="0"/>
              </w:tabs>
              <w:ind w:firstLineChars="8" w:firstLine="17"/>
              <w:contextualSpacing/>
              <w:mirrorIndents/>
              <w:jc w:val="center"/>
              <w:rPr>
                <w:rFonts w:ascii="宋体" w:eastAsia="宋体" w:hAnsi="宋体"/>
                <w:b/>
                <w:snapToGrid w:val="0"/>
                <w:color w:val="000000"/>
                <w:sz w:val="21"/>
                <w:szCs w:val="21"/>
              </w:rPr>
            </w:pPr>
            <w:r w:rsidRPr="00E449C8">
              <w:rPr>
                <w:rFonts w:ascii="宋体" w:eastAsia="宋体" w:hAnsi="宋体" w:hint="eastAsia"/>
                <w:b/>
                <w:snapToGrid w:val="0"/>
                <w:color w:val="000000"/>
                <w:sz w:val="21"/>
                <w:szCs w:val="21"/>
              </w:rPr>
              <w:t>投资比例</w:t>
            </w:r>
          </w:p>
        </w:tc>
      </w:tr>
      <w:tr w:rsidR="00E94E6A" w:rsidRPr="00C97A3B" w:rsidTr="00E449C8">
        <w:trPr>
          <w:trHeight w:val="204"/>
        </w:trPr>
        <w:tc>
          <w:tcPr>
            <w:tcW w:w="2031" w:type="pct"/>
            <w:tcBorders>
              <w:top w:val="single" w:sz="8" w:space="0" w:color="auto"/>
              <w:left w:val="single" w:sz="8" w:space="0" w:color="auto"/>
              <w:bottom w:val="nil"/>
              <w:right w:val="single" w:sz="8" w:space="0" w:color="auto"/>
            </w:tcBorders>
            <w:vAlign w:val="center"/>
            <w:hideMark/>
          </w:tcPr>
          <w:p w:rsidR="00E94E6A" w:rsidRPr="00C97A3B" w:rsidRDefault="00E94E6A" w:rsidP="00397781">
            <w:pPr>
              <w:tabs>
                <w:tab w:val="left" w:pos="0"/>
              </w:tabs>
              <w:contextualSpacing/>
              <w:mirrorIndents/>
              <w:rPr>
                <w:rFonts w:ascii="宋体" w:eastAsia="宋体" w:hAnsi="宋体"/>
                <w:snapToGrid w:val="0"/>
                <w:color w:val="000000"/>
                <w:sz w:val="21"/>
                <w:szCs w:val="21"/>
              </w:rPr>
            </w:pPr>
            <w:r w:rsidRPr="00C97A3B">
              <w:rPr>
                <w:rFonts w:ascii="宋体" w:eastAsia="宋体" w:hAnsi="宋体" w:hint="eastAsia"/>
                <w:snapToGrid w:val="0"/>
                <w:color w:val="000000"/>
                <w:sz w:val="21"/>
                <w:szCs w:val="21"/>
              </w:rPr>
              <w:t>固定收益类资产</w:t>
            </w:r>
          </w:p>
        </w:tc>
        <w:tc>
          <w:tcPr>
            <w:tcW w:w="2969" w:type="pct"/>
            <w:tcBorders>
              <w:top w:val="single" w:sz="8" w:space="0" w:color="auto"/>
              <w:left w:val="nil"/>
              <w:bottom w:val="nil"/>
              <w:right w:val="single" w:sz="8" w:space="0" w:color="auto"/>
            </w:tcBorders>
            <w:vAlign w:val="center"/>
            <w:hideMark/>
          </w:tcPr>
          <w:p w:rsidR="00E94E6A" w:rsidRPr="00C97A3B" w:rsidRDefault="00E94E6A" w:rsidP="00397781">
            <w:pPr>
              <w:tabs>
                <w:tab w:val="left" w:pos="0"/>
              </w:tabs>
              <w:ind w:firstLineChars="8" w:firstLine="17"/>
              <w:contextualSpacing/>
              <w:mirrorIndents/>
              <w:jc w:val="center"/>
              <w:rPr>
                <w:rFonts w:ascii="宋体" w:eastAsia="宋体" w:hAnsi="宋体"/>
                <w:snapToGrid w:val="0"/>
                <w:color w:val="000000"/>
                <w:sz w:val="21"/>
                <w:szCs w:val="21"/>
              </w:rPr>
            </w:pPr>
            <w:r w:rsidRPr="00C97A3B">
              <w:rPr>
                <w:rFonts w:ascii="宋体" w:eastAsia="宋体" w:hAnsi="宋体" w:hint="eastAsia"/>
                <w:snapToGrid w:val="0"/>
                <w:color w:val="000000"/>
                <w:sz w:val="21"/>
                <w:szCs w:val="21"/>
              </w:rPr>
              <w:t>10%-90%</w:t>
            </w:r>
          </w:p>
        </w:tc>
      </w:tr>
      <w:tr w:rsidR="00E94E6A" w:rsidRPr="00C97A3B" w:rsidTr="00E449C8">
        <w:trPr>
          <w:trHeight w:val="251"/>
        </w:trPr>
        <w:tc>
          <w:tcPr>
            <w:tcW w:w="2031" w:type="pct"/>
            <w:tcBorders>
              <w:top w:val="single" w:sz="4" w:space="0" w:color="auto"/>
              <w:left w:val="single" w:sz="8" w:space="0" w:color="auto"/>
              <w:bottom w:val="single" w:sz="4" w:space="0" w:color="auto"/>
              <w:right w:val="single" w:sz="8" w:space="0" w:color="auto"/>
            </w:tcBorders>
            <w:vAlign w:val="center"/>
            <w:hideMark/>
          </w:tcPr>
          <w:p w:rsidR="00E94E6A" w:rsidRPr="00C97A3B" w:rsidRDefault="00E94E6A" w:rsidP="00397781">
            <w:pPr>
              <w:tabs>
                <w:tab w:val="left" w:pos="0"/>
              </w:tabs>
              <w:contextualSpacing/>
              <w:mirrorIndents/>
              <w:rPr>
                <w:rFonts w:ascii="宋体" w:eastAsia="宋体" w:hAnsi="宋体"/>
                <w:snapToGrid w:val="0"/>
                <w:color w:val="000000"/>
                <w:sz w:val="21"/>
                <w:szCs w:val="21"/>
              </w:rPr>
            </w:pPr>
            <w:r w:rsidRPr="00C97A3B">
              <w:rPr>
                <w:rFonts w:ascii="宋体" w:eastAsia="宋体" w:hAnsi="宋体" w:hint="eastAsia"/>
                <w:snapToGrid w:val="0"/>
                <w:color w:val="000000"/>
                <w:sz w:val="21"/>
                <w:szCs w:val="21"/>
              </w:rPr>
              <w:t>权益类资产</w:t>
            </w:r>
          </w:p>
        </w:tc>
        <w:tc>
          <w:tcPr>
            <w:tcW w:w="2969" w:type="pct"/>
            <w:tcBorders>
              <w:top w:val="single" w:sz="8" w:space="0" w:color="auto"/>
              <w:left w:val="nil"/>
              <w:bottom w:val="single" w:sz="4" w:space="0" w:color="auto"/>
              <w:right w:val="single" w:sz="8" w:space="0" w:color="auto"/>
            </w:tcBorders>
            <w:vAlign w:val="center"/>
            <w:hideMark/>
          </w:tcPr>
          <w:p w:rsidR="00E94E6A" w:rsidRPr="00C97A3B" w:rsidRDefault="00E94E6A" w:rsidP="00397781">
            <w:pPr>
              <w:tabs>
                <w:tab w:val="left" w:pos="0"/>
              </w:tabs>
              <w:ind w:firstLineChars="8" w:firstLine="17"/>
              <w:contextualSpacing/>
              <w:mirrorIndents/>
              <w:jc w:val="center"/>
              <w:rPr>
                <w:rFonts w:ascii="宋体" w:eastAsia="宋体" w:hAnsi="宋体"/>
                <w:snapToGrid w:val="0"/>
                <w:color w:val="000000"/>
                <w:sz w:val="21"/>
                <w:szCs w:val="21"/>
              </w:rPr>
            </w:pPr>
            <w:r w:rsidRPr="00C97A3B">
              <w:rPr>
                <w:rFonts w:ascii="宋体" w:eastAsia="宋体" w:hAnsi="宋体" w:hint="eastAsia"/>
                <w:snapToGrid w:val="0"/>
                <w:color w:val="000000"/>
                <w:sz w:val="21"/>
                <w:szCs w:val="21"/>
              </w:rPr>
              <w:t>0%-50%</w:t>
            </w:r>
          </w:p>
        </w:tc>
      </w:tr>
      <w:tr w:rsidR="00E94E6A" w:rsidRPr="00C97A3B" w:rsidTr="00E449C8">
        <w:trPr>
          <w:trHeight w:val="251"/>
        </w:trPr>
        <w:tc>
          <w:tcPr>
            <w:tcW w:w="2031" w:type="pct"/>
            <w:tcBorders>
              <w:top w:val="single" w:sz="4" w:space="0" w:color="auto"/>
              <w:left w:val="single" w:sz="8" w:space="0" w:color="auto"/>
              <w:bottom w:val="single" w:sz="4" w:space="0" w:color="auto"/>
              <w:right w:val="single" w:sz="8" w:space="0" w:color="auto"/>
            </w:tcBorders>
            <w:vAlign w:val="center"/>
            <w:hideMark/>
          </w:tcPr>
          <w:p w:rsidR="00E94E6A" w:rsidRPr="00C97A3B" w:rsidRDefault="00E94E6A" w:rsidP="00397781">
            <w:pPr>
              <w:tabs>
                <w:tab w:val="left" w:pos="0"/>
              </w:tabs>
              <w:contextualSpacing/>
              <w:mirrorIndents/>
              <w:rPr>
                <w:rFonts w:ascii="宋体" w:eastAsia="宋体" w:hAnsi="宋体"/>
                <w:snapToGrid w:val="0"/>
                <w:color w:val="000000"/>
                <w:sz w:val="21"/>
                <w:szCs w:val="21"/>
              </w:rPr>
            </w:pPr>
            <w:r w:rsidRPr="00C97A3B">
              <w:rPr>
                <w:rFonts w:ascii="宋体" w:eastAsia="宋体" w:hAnsi="宋体" w:hint="eastAsia"/>
                <w:snapToGrid w:val="0"/>
                <w:color w:val="000000"/>
                <w:sz w:val="21"/>
                <w:szCs w:val="21"/>
              </w:rPr>
              <w:t>其他资产或者资产组合</w:t>
            </w:r>
          </w:p>
        </w:tc>
        <w:tc>
          <w:tcPr>
            <w:tcW w:w="2969" w:type="pct"/>
            <w:tcBorders>
              <w:top w:val="single" w:sz="8" w:space="0" w:color="auto"/>
              <w:left w:val="nil"/>
              <w:bottom w:val="single" w:sz="4" w:space="0" w:color="auto"/>
              <w:right w:val="single" w:sz="8" w:space="0" w:color="auto"/>
            </w:tcBorders>
            <w:vAlign w:val="center"/>
            <w:hideMark/>
          </w:tcPr>
          <w:p w:rsidR="00E94E6A" w:rsidRPr="00C97A3B" w:rsidRDefault="00E94E6A" w:rsidP="00397781">
            <w:pPr>
              <w:tabs>
                <w:tab w:val="left" w:pos="0"/>
              </w:tabs>
              <w:ind w:firstLineChars="8" w:firstLine="17"/>
              <w:contextualSpacing/>
              <w:mirrorIndents/>
              <w:jc w:val="center"/>
              <w:rPr>
                <w:rFonts w:ascii="宋体" w:eastAsia="宋体" w:hAnsi="宋体"/>
                <w:snapToGrid w:val="0"/>
                <w:color w:val="000000"/>
                <w:sz w:val="21"/>
                <w:szCs w:val="21"/>
              </w:rPr>
            </w:pPr>
            <w:r w:rsidRPr="00C97A3B">
              <w:rPr>
                <w:rFonts w:ascii="宋体" w:eastAsia="宋体" w:hAnsi="宋体" w:hint="eastAsia"/>
                <w:snapToGrid w:val="0"/>
                <w:color w:val="000000"/>
                <w:sz w:val="21"/>
                <w:szCs w:val="21"/>
              </w:rPr>
              <w:t>0%-70%</w:t>
            </w:r>
          </w:p>
        </w:tc>
      </w:tr>
    </w:tbl>
    <w:p w:rsidR="006D21FF" w:rsidRDefault="00E94E6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平安</w:t>
      </w:r>
      <w:r w:rsidR="00756948" w:rsidRPr="006D21FF">
        <w:rPr>
          <w:rFonts w:ascii="宋体" w:hAnsi="宋体" w:cs="Times New Roman" w:hint="eastAsia"/>
          <w:color w:val="000000"/>
        </w:rPr>
        <w:t>银行有权根据市场实际情况，在不对客户实质性权益产生重大影响且按约</w:t>
      </w:r>
      <w:r w:rsidR="001840F4" w:rsidRPr="006D21FF">
        <w:rPr>
          <w:rFonts w:ascii="宋体" w:hAnsi="宋体" w:cs="Times New Roman" w:hint="eastAsia"/>
          <w:color w:val="000000"/>
        </w:rPr>
        <w:t>公告</w:t>
      </w:r>
      <w:r w:rsidR="00756948" w:rsidRPr="006D21FF">
        <w:rPr>
          <w:rFonts w:ascii="宋体" w:hAnsi="宋体" w:cs="Times New Roman" w:hint="eastAsia"/>
          <w:color w:val="000000"/>
        </w:rPr>
        <w:t>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p w:rsidR="003E1110" w:rsidRPr="006D21FF" w:rsidRDefault="003E1110" w:rsidP="00E449C8">
      <w:pPr>
        <w:pStyle w:val="a5"/>
        <w:adjustRightInd/>
        <w:snapToGrid/>
        <w:ind w:leftChars="-143" w:left="-429" w:rightChars="-161" w:right="-483" w:firstLineChars="1" w:firstLine="2"/>
        <w:contextualSpacing/>
        <w:mirrorIndents/>
        <w:rPr>
          <w:rFonts w:ascii="宋体" w:hAnsi="宋体" w:cs="Times New Roman"/>
          <w:color w:val="000000"/>
        </w:rPr>
      </w:pPr>
      <w:r w:rsidRPr="00C97A3B">
        <w:rPr>
          <w:rFonts w:ascii="宋体" w:hAnsi="宋体" w:hint="eastAsia"/>
          <w:b/>
          <w:sz w:val="24"/>
          <w:szCs w:val="24"/>
        </w:rPr>
        <w:t>三、理财产品费用、收益分析与计算</w:t>
      </w:r>
    </w:p>
    <w:p w:rsidR="003E1110" w:rsidRPr="006D21FF" w:rsidRDefault="00140605"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1</w:t>
      </w:r>
      <w:r w:rsidR="003E1110" w:rsidRPr="006D21FF">
        <w:rPr>
          <w:rFonts w:ascii="宋体" w:hAnsi="宋体" w:cs="Times New Roman" w:hint="eastAsia"/>
          <w:b/>
          <w:color w:val="000000"/>
        </w:rPr>
        <w:t>、理财资金所承担的相关费用及收益</w:t>
      </w:r>
    </w:p>
    <w:p w:rsidR="00F52B98" w:rsidRPr="006D21FF" w:rsidRDefault="00F52B98"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销售手续费：销售手续费由</w:t>
      </w:r>
      <w:r w:rsidR="00C03F41" w:rsidRPr="006D21FF">
        <w:rPr>
          <w:rFonts w:ascii="宋体" w:hAnsi="宋体" w:cs="Times New Roman" w:hint="eastAsia"/>
          <w:color w:val="000000"/>
        </w:rPr>
        <w:t>平安银行</w:t>
      </w:r>
      <w:r w:rsidRPr="006D21FF">
        <w:rPr>
          <w:rFonts w:ascii="宋体" w:hAnsi="宋体" w:cs="Times New Roman" w:hint="eastAsia"/>
          <w:color w:val="000000"/>
        </w:rPr>
        <w:t>收取，本期为</w:t>
      </w:r>
      <w:r w:rsidR="00E449C8">
        <w:rPr>
          <w:rFonts w:ascii="宋体" w:hAnsi="宋体" w:cs="Times New Roman" w:hint="eastAsia"/>
          <w:color w:val="000000"/>
        </w:rPr>
        <w:t>0-</w:t>
      </w:r>
      <w:r w:rsidRPr="006D21FF">
        <w:rPr>
          <w:rFonts w:ascii="宋体" w:hAnsi="宋体" w:cs="Times New Roman" w:hint="eastAsia"/>
          <w:color w:val="000000"/>
        </w:rPr>
        <w:t>0.</w:t>
      </w:r>
      <w:r w:rsidR="006C78C8">
        <w:rPr>
          <w:rFonts w:ascii="宋体" w:hAnsi="宋体" w:cs="Times New Roman" w:hint="eastAsia"/>
          <w:color w:val="000000"/>
        </w:rPr>
        <w:t>4</w:t>
      </w:r>
      <w:r w:rsidR="00E449C8">
        <w:rPr>
          <w:rFonts w:ascii="宋体" w:hAnsi="宋体" w:cs="Times New Roman" w:hint="eastAsia"/>
          <w:color w:val="000000"/>
        </w:rPr>
        <w:t>0</w:t>
      </w:r>
      <w:r w:rsidRPr="006D21FF">
        <w:rPr>
          <w:rFonts w:ascii="宋体" w:hAnsi="宋体" w:cs="Times New Roman" w:hint="eastAsia"/>
          <w:color w:val="000000"/>
        </w:rPr>
        <w:t>%</w:t>
      </w:r>
      <w:r w:rsidR="00EF5177">
        <w:rPr>
          <w:rFonts w:ascii="宋体" w:hAnsi="宋体" w:cs="Times New Roman" w:hint="eastAsia"/>
          <w:color w:val="000000"/>
        </w:rPr>
        <w:t>/年</w:t>
      </w:r>
      <w:r w:rsidRPr="006D21FF">
        <w:rPr>
          <w:rFonts w:ascii="宋体" w:hAnsi="宋体" w:cs="Times New Roman" w:hint="eastAsia"/>
          <w:color w:val="000000"/>
        </w:rPr>
        <w:t>。计算公式为：销售手续费=理财资金总额×销售手续费率×理财天数÷365。销售手续费在产品终止后2个工作日内分配。</w:t>
      </w:r>
    </w:p>
    <w:p w:rsidR="00F52B98" w:rsidRPr="006D21FF" w:rsidRDefault="00F52B98"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资金保管费：</w:t>
      </w:r>
      <w:r w:rsidR="003705F3" w:rsidRPr="006D21FF">
        <w:rPr>
          <w:rFonts w:ascii="宋体" w:hAnsi="宋体" w:cs="Times New Roman" w:hint="eastAsia"/>
          <w:color w:val="000000"/>
        </w:rPr>
        <w:t>资金保管</w:t>
      </w:r>
      <w:r w:rsidRPr="006D21FF">
        <w:rPr>
          <w:rFonts w:ascii="宋体" w:hAnsi="宋体" w:cs="Times New Roman" w:hint="eastAsia"/>
          <w:color w:val="000000"/>
        </w:rPr>
        <w:t>费由</w:t>
      </w:r>
      <w:r w:rsidR="00C03F41" w:rsidRPr="006D21FF">
        <w:rPr>
          <w:rFonts w:ascii="宋体" w:hAnsi="宋体" w:cs="Times New Roman" w:hint="eastAsia"/>
          <w:color w:val="000000"/>
        </w:rPr>
        <w:t>平安银行</w:t>
      </w:r>
      <w:r w:rsidRPr="006D21FF">
        <w:rPr>
          <w:rFonts w:ascii="宋体" w:hAnsi="宋体" w:cs="Times New Roman" w:hint="eastAsia"/>
          <w:color w:val="000000"/>
        </w:rPr>
        <w:t>收取，本期为0-0.20%</w:t>
      </w:r>
      <w:r w:rsidR="00EF5177">
        <w:rPr>
          <w:rFonts w:ascii="宋体" w:hAnsi="宋体" w:cs="Times New Roman" w:hint="eastAsia"/>
          <w:color w:val="000000"/>
        </w:rPr>
        <w:t>/年</w:t>
      </w:r>
      <w:r w:rsidRPr="006D21FF">
        <w:rPr>
          <w:rFonts w:ascii="宋体" w:hAnsi="宋体" w:cs="Times New Roman" w:hint="eastAsia"/>
          <w:color w:val="000000"/>
        </w:rPr>
        <w:t>。计算公式为：资金保管费=理财资金总额×资金保管费率×理财天数÷365。资金保管费在产品终止后2个工作日内分配。</w:t>
      </w:r>
    </w:p>
    <w:p w:rsidR="00F52B98" w:rsidRPr="006D21FF" w:rsidRDefault="00F52B98"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资产管理费：资产管理费由</w:t>
      </w:r>
      <w:r w:rsidR="00C03F41" w:rsidRPr="006D21FF">
        <w:rPr>
          <w:rFonts w:ascii="宋体" w:hAnsi="宋体" w:cs="Times New Roman" w:hint="eastAsia"/>
          <w:color w:val="000000"/>
        </w:rPr>
        <w:t>平安银行</w:t>
      </w:r>
      <w:r w:rsidRPr="006D21FF">
        <w:rPr>
          <w:rFonts w:ascii="宋体" w:hAnsi="宋体" w:cs="Times New Roman" w:hint="eastAsia"/>
          <w:color w:val="000000"/>
        </w:rPr>
        <w:t>收取，本期为0-0.80%</w:t>
      </w:r>
      <w:r w:rsidR="00EF5177">
        <w:rPr>
          <w:rFonts w:ascii="宋体" w:hAnsi="宋体" w:cs="Times New Roman" w:hint="eastAsia"/>
          <w:color w:val="000000"/>
        </w:rPr>
        <w:t>/年</w:t>
      </w:r>
      <w:r w:rsidRPr="006D21FF">
        <w:rPr>
          <w:rFonts w:ascii="宋体" w:hAnsi="宋体" w:cs="Times New Roman" w:hint="eastAsia"/>
          <w:color w:val="000000"/>
        </w:rPr>
        <w:t>。计算公式为：资产管理费=理财资金总额×资产管理费率×理财天数÷365。</w:t>
      </w:r>
    </w:p>
    <w:p w:rsidR="00F52B98" w:rsidRPr="006D21FF" w:rsidRDefault="00F52B98"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资产投资收益需优先扣除相关法律规定的税费以及上述费用后，再分配本金和收益。分配完客户本金和收益后的剩余部分为</w:t>
      </w:r>
      <w:r w:rsidR="00C03F41" w:rsidRPr="006D21FF">
        <w:rPr>
          <w:rFonts w:ascii="宋体" w:hAnsi="宋体" w:cs="Times New Roman" w:hint="eastAsia"/>
          <w:color w:val="000000"/>
        </w:rPr>
        <w:t>平安银行</w:t>
      </w:r>
      <w:r w:rsidRPr="006D21FF">
        <w:rPr>
          <w:rFonts w:ascii="宋体" w:hAnsi="宋体" w:cs="Times New Roman" w:hint="eastAsia"/>
          <w:color w:val="000000"/>
        </w:rPr>
        <w:t>所有。</w:t>
      </w:r>
    </w:p>
    <w:p w:rsidR="00F52B98" w:rsidRPr="006D21FF" w:rsidRDefault="00F52B98"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对理财本金所产生的理财收益，</w:t>
      </w:r>
      <w:r w:rsidR="00C03F41" w:rsidRPr="006D21FF">
        <w:rPr>
          <w:rFonts w:ascii="宋体" w:hAnsi="宋体" w:cs="Times New Roman" w:hint="eastAsia"/>
          <w:color w:val="000000"/>
        </w:rPr>
        <w:t>平安银行</w:t>
      </w:r>
      <w:r w:rsidRPr="006D21FF">
        <w:rPr>
          <w:rFonts w:ascii="宋体" w:hAnsi="宋体" w:cs="Times New Roman" w:hint="eastAsia"/>
          <w:color w:val="000000"/>
        </w:rPr>
        <w:t>暂不代扣代缴税。但若依照国家法律要求或税务机关的行政命令要求缴纳收益所得税，</w:t>
      </w:r>
      <w:r w:rsidR="00C03F41" w:rsidRPr="006D21FF">
        <w:rPr>
          <w:rFonts w:ascii="宋体" w:hAnsi="宋体" w:cs="Times New Roman" w:hint="eastAsia"/>
          <w:color w:val="000000"/>
        </w:rPr>
        <w:t>平安银行</w:t>
      </w:r>
      <w:r w:rsidRPr="006D21FF">
        <w:rPr>
          <w:rFonts w:ascii="宋体" w:hAnsi="宋体" w:cs="Times New Roman" w:hint="eastAsia"/>
          <w:color w:val="000000"/>
        </w:rPr>
        <w:t>有义务代扣代缴投资者、受益人承担的税费，</w:t>
      </w:r>
      <w:r w:rsidR="00C03F41" w:rsidRPr="006D21FF">
        <w:rPr>
          <w:rFonts w:ascii="宋体" w:hAnsi="宋体" w:cs="Times New Roman" w:hint="eastAsia"/>
          <w:color w:val="000000"/>
        </w:rPr>
        <w:t>平安银行</w:t>
      </w:r>
      <w:r w:rsidRPr="006D21FF">
        <w:rPr>
          <w:rFonts w:ascii="宋体" w:hAnsi="宋体" w:cs="Times New Roman" w:hint="eastAsia"/>
          <w:color w:val="000000"/>
        </w:rPr>
        <w:t>所代缴税费将从理财计划资产中扣除。</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color w:val="000000"/>
        </w:rPr>
      </w:pPr>
      <w:r w:rsidRPr="006D21FF">
        <w:rPr>
          <w:rFonts w:ascii="宋体" w:hAnsi="宋体" w:cs="Times New Roman" w:hint="eastAsia"/>
          <w:b/>
          <w:color w:val="000000"/>
        </w:rPr>
        <w:t>2、客户</w:t>
      </w:r>
      <w:r w:rsidR="00B92E70" w:rsidRPr="006D21FF">
        <w:rPr>
          <w:rFonts w:ascii="宋体" w:hAnsi="宋体" w:cs="Times New Roman" w:hint="eastAsia"/>
          <w:b/>
          <w:color w:val="000000"/>
        </w:rPr>
        <w:t>预期最高</w:t>
      </w:r>
      <w:r w:rsidRPr="006D21FF">
        <w:rPr>
          <w:rFonts w:ascii="宋体" w:hAnsi="宋体" w:cs="Times New Roman" w:hint="eastAsia"/>
          <w:b/>
          <w:color w:val="000000"/>
        </w:rPr>
        <w:t>年化收益率：</w:t>
      </w:r>
      <w:r w:rsidR="00133B9E">
        <w:rPr>
          <w:rFonts w:ascii="宋体" w:hAnsi="宋体" w:cs="Times New Roman" w:hint="eastAsia"/>
          <w:b/>
          <w:color w:val="FF0000"/>
        </w:rPr>
        <w:t>6.00</w:t>
      </w:r>
      <w:r w:rsidR="006C78C8">
        <w:rPr>
          <w:rFonts w:ascii="宋体" w:hAnsi="宋体" w:cs="Times New Roman" w:hint="eastAsia"/>
          <w:b/>
          <w:color w:val="FF0000"/>
        </w:rPr>
        <w:t>%</w:t>
      </w:r>
    </w:p>
    <w:p w:rsidR="00FE6A86" w:rsidRPr="006D21FF" w:rsidRDefault="00FE6A86"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客户预期最高年化收益率根据当前可投资</w:t>
      </w:r>
      <w:r w:rsidR="0005710F" w:rsidRPr="006D21FF">
        <w:rPr>
          <w:rFonts w:ascii="宋体" w:hAnsi="宋体" w:cs="Times New Roman" w:hint="eastAsia"/>
          <w:color w:val="000000"/>
        </w:rPr>
        <w:t>资产</w:t>
      </w:r>
      <w:r w:rsidRPr="006D21FF">
        <w:rPr>
          <w:rFonts w:ascii="宋体" w:hAnsi="宋体" w:cs="Times New Roman" w:hint="eastAsia"/>
          <w:color w:val="000000"/>
        </w:rPr>
        <w:t>的预期</w:t>
      </w:r>
      <w:r w:rsidR="0005710F" w:rsidRPr="006D21FF">
        <w:rPr>
          <w:rFonts w:ascii="宋体" w:hAnsi="宋体" w:cs="Times New Roman" w:hint="eastAsia"/>
          <w:color w:val="000000"/>
        </w:rPr>
        <w:t>加权</w:t>
      </w:r>
      <w:r w:rsidRPr="006D21FF">
        <w:rPr>
          <w:rFonts w:ascii="宋体" w:hAnsi="宋体" w:cs="Times New Roman" w:hint="eastAsia"/>
          <w:color w:val="000000"/>
        </w:rPr>
        <w:t>投资</w:t>
      </w:r>
      <w:r w:rsidR="0005710F" w:rsidRPr="006D21FF">
        <w:rPr>
          <w:rFonts w:ascii="宋体" w:hAnsi="宋体" w:cs="Times New Roman" w:hint="eastAsia"/>
          <w:color w:val="000000"/>
        </w:rPr>
        <w:t>收益率扣除银行销售手续费率、</w:t>
      </w:r>
      <w:r w:rsidR="00AE05D9" w:rsidRPr="006D21FF">
        <w:rPr>
          <w:rFonts w:ascii="宋体" w:hAnsi="宋体" w:cs="Times New Roman" w:hint="eastAsia"/>
          <w:color w:val="000000"/>
        </w:rPr>
        <w:t>资金保管费率、</w:t>
      </w:r>
      <w:r w:rsidR="0005710F" w:rsidRPr="006D21FF">
        <w:rPr>
          <w:rFonts w:ascii="宋体" w:hAnsi="宋体" w:cs="Times New Roman" w:hint="eastAsia"/>
          <w:color w:val="000000"/>
        </w:rPr>
        <w:t>资产管理费率后</w:t>
      </w:r>
      <w:r w:rsidRPr="006D21FF">
        <w:rPr>
          <w:rFonts w:ascii="宋体" w:hAnsi="宋体" w:cs="Times New Roman" w:hint="eastAsia"/>
          <w:color w:val="000000"/>
        </w:rPr>
        <w:t>测算而得。</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 xml:space="preserve">3、实际收益计算公式 </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color w:val="000000"/>
        </w:rPr>
        <w:lastRenderedPageBreak/>
        <w:t>实际理财收益额按下式计算：理财收益额=理财金额×当期实际年化收益率</w:t>
      </w:r>
      <w:r w:rsidR="00155871" w:rsidRPr="006D21FF">
        <w:rPr>
          <w:rFonts w:ascii="宋体" w:hAnsi="宋体" w:cs="Times New Roman" w:hint="eastAsia"/>
          <w:color w:val="000000"/>
        </w:rPr>
        <w:t>（以预期最高年化收益率为限）</w:t>
      </w:r>
      <w:r w:rsidRPr="006D21FF">
        <w:rPr>
          <w:rFonts w:ascii="宋体" w:hAnsi="宋体" w:cs="Times New Roman"/>
          <w:color w:val="000000"/>
        </w:rPr>
        <w:t>×实际理财天数/</w:t>
      </w:r>
      <w:r w:rsidRPr="006D21FF">
        <w:rPr>
          <w:rFonts w:ascii="宋体" w:hAnsi="宋体" w:cs="Times New Roman" w:hint="eastAsia"/>
          <w:color w:val="000000"/>
        </w:rPr>
        <w:t>365</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4、理财收益</w:t>
      </w:r>
      <w:r w:rsidR="00B92E70" w:rsidRPr="006D21FF">
        <w:rPr>
          <w:rFonts w:ascii="宋体" w:hAnsi="宋体" w:cs="Times New Roman" w:hint="eastAsia"/>
          <w:b/>
          <w:color w:val="000000"/>
        </w:rPr>
        <w:t>率</w:t>
      </w:r>
      <w:r w:rsidRPr="006D21FF">
        <w:rPr>
          <w:rFonts w:ascii="宋体" w:hAnsi="宋体" w:cs="Times New Roman" w:hint="eastAsia"/>
          <w:b/>
          <w:color w:val="000000"/>
        </w:rPr>
        <w:t>测算方法</w:t>
      </w:r>
      <w:r w:rsidR="00DA580A" w:rsidRPr="006D21FF">
        <w:rPr>
          <w:rFonts w:ascii="宋体" w:hAnsi="宋体" w:cs="Times New Roman" w:hint="eastAsia"/>
          <w:b/>
          <w:color w:val="000000"/>
        </w:rPr>
        <w:t>及示例</w:t>
      </w:r>
    </w:p>
    <w:p w:rsidR="003E1110" w:rsidRPr="006D21FF" w:rsidRDefault="00F52B98"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本产品主要投资于</w:t>
      </w:r>
      <w:r w:rsidR="00DA580A" w:rsidRPr="006D21FF">
        <w:rPr>
          <w:rFonts w:ascii="宋体" w:hAnsi="宋体" w:cs="Times New Roman"/>
          <w:color w:val="000000"/>
        </w:rPr>
        <w:t>符合监管要求的</w:t>
      </w:r>
      <w:r w:rsidR="00DA580A" w:rsidRPr="006D21FF">
        <w:rPr>
          <w:rFonts w:ascii="宋体" w:hAnsi="宋体" w:cs="Times New Roman" w:hint="eastAsia"/>
          <w:color w:val="000000"/>
        </w:rPr>
        <w:t>固定收益类资产、权益类资产以及其他资产或资产组合等。</w:t>
      </w:r>
      <w:r w:rsidRPr="006D21FF">
        <w:rPr>
          <w:rFonts w:ascii="宋体" w:hAnsi="宋体" w:cs="Times New Roman" w:hint="eastAsia"/>
          <w:color w:val="000000"/>
        </w:rPr>
        <w:t>根据组合资产的收益，扣除产品的成本，本期理财产品预期最高年化收益率为</w:t>
      </w:r>
      <w:r w:rsidR="00133B9E">
        <w:rPr>
          <w:rFonts w:ascii="宋体" w:hAnsi="宋体" w:cs="Times New Roman" w:hint="eastAsia"/>
          <w:b/>
          <w:color w:val="FF0000"/>
        </w:rPr>
        <w:t>6.00</w:t>
      </w:r>
      <w:r w:rsidR="006C78C8">
        <w:rPr>
          <w:rFonts w:ascii="宋体" w:hAnsi="宋体" w:cs="Times New Roman" w:hint="eastAsia"/>
          <w:b/>
          <w:color w:val="FF0000"/>
        </w:rPr>
        <w:t>%</w:t>
      </w:r>
      <w:r w:rsidR="00E449C8">
        <w:rPr>
          <w:rFonts w:ascii="宋体" w:hAnsi="宋体" w:cs="Times New Roman" w:hint="eastAsia"/>
          <w:b/>
          <w:color w:val="FF0000"/>
        </w:rPr>
        <w:t xml:space="preserve"> </w:t>
      </w:r>
      <w:r w:rsidR="003E1110" w:rsidRPr="006D21FF">
        <w:rPr>
          <w:rFonts w:ascii="宋体" w:hAnsi="宋体" w:cs="Times New Roman" w:hint="eastAsia"/>
          <w:color w:val="000000"/>
        </w:rPr>
        <w:t>。</w:t>
      </w:r>
    </w:p>
    <w:p w:rsidR="00DA580A" w:rsidRPr="006D21FF" w:rsidRDefault="00DA580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若经管理，投资于基础资产的本金按时足额回收，获得收益在扣除相关法律规定的税费、销售手续费率、资金保管费率等相关固定费用后：</w:t>
      </w:r>
    </w:p>
    <w:p w:rsidR="00DA580A" w:rsidRPr="006D21FF" w:rsidRDefault="00DA580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（1）如剩余收益率大于客户预期最高年化收益率，则客户收益按预期最高年化收益率计算，平安银行收取超出的部分作为资产管理费；</w:t>
      </w:r>
    </w:p>
    <w:p w:rsidR="00DA580A" w:rsidRPr="006D21FF" w:rsidRDefault="00DA580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（2）如剩余收益率等于客户预期最高年化收益率，则客户收益按预期最高年化收益率计算，平安银行将不再收取资产管理费；</w:t>
      </w:r>
    </w:p>
    <w:p w:rsidR="00DA580A" w:rsidRPr="006D21FF" w:rsidRDefault="00DA580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（3）如剩余收益率小于客户预期最高年化收益率，则客户收益按剩余收益计算，平安银行将不再收取资产管理费。</w:t>
      </w:r>
    </w:p>
    <w:p w:rsidR="00DA580A" w:rsidRPr="006D21FF" w:rsidRDefault="00DA580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（4）如剩余收益为负时，客户将面临部分本金损失，平安银行将不再收取资产管理费。</w:t>
      </w:r>
    </w:p>
    <w:p w:rsidR="00DA580A" w:rsidRPr="006D21FF" w:rsidRDefault="00DA580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在投资于基础资产的本金未按时足额回收的情况下，须根据投资于基础资产的本金及收益实际回收情况在扣除相关费用后计算客户应得本金及收益；如发生基础资产无法回收任何本金和收益的最不利情况下，客户将损失全部本金。</w:t>
      </w:r>
    </w:p>
    <w:p w:rsidR="00C573B4" w:rsidRPr="006D21FF" w:rsidRDefault="00C573B4"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测算收益不等于实际收益，投资须谨慎。</w:t>
      </w:r>
    </w:p>
    <w:p w:rsidR="003E1110" w:rsidRPr="00E449C8" w:rsidRDefault="003E1110" w:rsidP="00E449C8">
      <w:pPr>
        <w:pStyle w:val="a5"/>
        <w:adjustRightInd/>
        <w:snapToGrid/>
        <w:ind w:leftChars="-143" w:left="-429" w:rightChars="-161" w:right="-483" w:firstLine="422"/>
        <w:contextualSpacing/>
        <w:mirrorIndents/>
        <w:rPr>
          <w:rFonts w:ascii="宋体" w:hAnsi="宋体" w:cs="Times New Roman"/>
          <w:b/>
          <w:color w:val="000000"/>
        </w:rPr>
      </w:pPr>
      <w:r w:rsidRPr="00E449C8">
        <w:rPr>
          <w:rFonts w:ascii="宋体" w:hAnsi="宋体" w:cs="Times New Roman" w:hint="eastAsia"/>
          <w:b/>
          <w:color w:val="000000"/>
        </w:rPr>
        <w:t>5、情景分析</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情景1．本理财计划成立，</w:t>
      </w:r>
      <w:r w:rsidR="00614058" w:rsidRPr="006D21FF">
        <w:rPr>
          <w:rFonts w:ascii="宋体" w:hAnsi="宋体" w:cs="Times New Roman" w:hint="eastAsia"/>
          <w:color w:val="000000"/>
        </w:rPr>
        <w:t>投资者如期获得预期理财收益。</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若本理财计划成立，假定理财本金为人民币1,000,000元，实际理财天数为</w:t>
      </w:r>
      <w:r w:rsidR="00133B9E">
        <w:rPr>
          <w:rFonts w:ascii="宋体" w:hAnsi="宋体" w:cs="Times New Roman" w:hint="eastAsia"/>
          <w:b/>
          <w:color w:val="FF0000"/>
        </w:rPr>
        <w:t>203</w:t>
      </w:r>
      <w:r w:rsidRPr="006D21FF">
        <w:rPr>
          <w:rFonts w:ascii="宋体" w:hAnsi="宋体" w:cs="Times New Roman" w:hint="eastAsia"/>
          <w:b/>
          <w:color w:val="FF0000"/>
        </w:rPr>
        <w:t>天</w:t>
      </w:r>
      <w:r w:rsidRPr="006D21FF">
        <w:rPr>
          <w:rFonts w:ascii="宋体" w:hAnsi="宋体" w:cs="Times New Roman" w:hint="eastAsia"/>
          <w:color w:val="000000"/>
        </w:rPr>
        <w:t>，客户</w:t>
      </w:r>
      <w:r w:rsidR="00B92E70" w:rsidRPr="006D21FF">
        <w:rPr>
          <w:rFonts w:ascii="宋体" w:hAnsi="宋体" w:cs="Times New Roman" w:hint="eastAsia"/>
          <w:color w:val="000000"/>
        </w:rPr>
        <w:t>预期最高</w:t>
      </w:r>
      <w:r w:rsidRPr="006D21FF">
        <w:rPr>
          <w:rFonts w:ascii="宋体" w:hAnsi="宋体" w:cs="Times New Roman" w:hint="eastAsia"/>
          <w:color w:val="000000"/>
        </w:rPr>
        <w:t>年化收益率为</w:t>
      </w:r>
      <w:r w:rsidR="00133B9E">
        <w:rPr>
          <w:rFonts w:ascii="宋体" w:hAnsi="宋体" w:cs="Times New Roman" w:hint="eastAsia"/>
          <w:b/>
          <w:color w:val="FF0000"/>
        </w:rPr>
        <w:t>6.00</w:t>
      </w:r>
      <w:r w:rsidR="006C78C8">
        <w:rPr>
          <w:rFonts w:ascii="宋体" w:hAnsi="宋体" w:cs="Times New Roman" w:hint="eastAsia"/>
          <w:b/>
          <w:color w:val="FF0000"/>
        </w:rPr>
        <w:t>%</w:t>
      </w:r>
      <w:r w:rsidRPr="006D21FF">
        <w:rPr>
          <w:rFonts w:ascii="宋体" w:hAnsi="宋体" w:cs="Times New Roman" w:hint="eastAsia"/>
          <w:color w:val="000000"/>
        </w:rPr>
        <w:t>，产品结束时，</w:t>
      </w:r>
      <w:r w:rsidRPr="006D21FF">
        <w:rPr>
          <w:rFonts w:ascii="宋体" w:hAnsi="宋体" w:cs="Times New Roman"/>
          <w:color w:val="000000"/>
        </w:rPr>
        <w:t>当期实际年化收益率</w:t>
      </w:r>
      <w:r w:rsidRPr="006D21FF">
        <w:rPr>
          <w:rFonts w:ascii="宋体" w:hAnsi="宋体" w:cs="Times New Roman" w:hint="eastAsia"/>
          <w:color w:val="000000"/>
        </w:rPr>
        <w:t>等于客户</w:t>
      </w:r>
      <w:r w:rsidR="00B92E70" w:rsidRPr="006D21FF">
        <w:rPr>
          <w:rFonts w:ascii="宋体" w:hAnsi="宋体" w:cs="Times New Roman" w:hint="eastAsia"/>
          <w:color w:val="000000"/>
        </w:rPr>
        <w:t>预期最高</w:t>
      </w:r>
      <w:r w:rsidRPr="006D21FF">
        <w:rPr>
          <w:rFonts w:ascii="宋体" w:hAnsi="宋体" w:cs="Times New Roman" w:hint="eastAsia"/>
          <w:color w:val="000000"/>
        </w:rPr>
        <w:t>年化收益率，则投资者持有到期理财收益为：</w:t>
      </w:r>
      <w:r w:rsidR="00CB2369" w:rsidRPr="006D21FF">
        <w:rPr>
          <w:rFonts w:ascii="宋体" w:hAnsi="宋体" w:cs="Times New Roman" w:hint="eastAsia"/>
          <w:b/>
          <w:color w:val="FF0000"/>
        </w:rPr>
        <w:t>1,000,000</w:t>
      </w:r>
      <w:r w:rsidRPr="006D21FF">
        <w:rPr>
          <w:rFonts w:ascii="宋体" w:hAnsi="宋体" w:cs="Times New Roman"/>
          <w:b/>
          <w:color w:val="FF0000"/>
        </w:rPr>
        <w:t>×</w:t>
      </w:r>
      <w:r w:rsidR="00133B9E">
        <w:rPr>
          <w:rFonts w:ascii="宋体" w:hAnsi="宋体" w:cs="Times New Roman" w:hint="eastAsia"/>
          <w:b/>
          <w:color w:val="FF0000"/>
        </w:rPr>
        <w:t>6.00</w:t>
      </w:r>
      <w:r w:rsidR="006C78C8">
        <w:rPr>
          <w:rFonts w:ascii="宋体" w:hAnsi="宋体" w:cs="Times New Roman" w:hint="eastAsia"/>
          <w:b/>
          <w:color w:val="FF0000"/>
        </w:rPr>
        <w:t>%</w:t>
      </w:r>
      <w:r w:rsidR="00092014" w:rsidRPr="006D21FF">
        <w:rPr>
          <w:rFonts w:ascii="宋体" w:hAnsi="宋体" w:cs="Times New Roman"/>
          <w:b/>
          <w:color w:val="FF0000"/>
        </w:rPr>
        <w:fldChar w:fldCharType="begin"/>
      </w:r>
      <w:r w:rsidRPr="006D21FF">
        <w:rPr>
          <w:rFonts w:ascii="宋体" w:hAnsi="宋体" w:cs="Times New Roman"/>
          <w:b/>
          <w:color w:val="FF0000"/>
        </w:rPr>
        <w:instrText xml:space="preserve"> </w:instrText>
      </w:r>
      <w:r w:rsidRPr="006D21FF">
        <w:rPr>
          <w:rFonts w:ascii="宋体" w:hAnsi="宋体" w:cs="Times New Roman" w:hint="eastAsia"/>
          <w:b/>
          <w:color w:val="FF0000"/>
        </w:rPr>
        <w:instrText>=</w:instrText>
      </w:r>
      <w:r w:rsidRPr="006D21FF">
        <w:rPr>
          <w:rFonts w:ascii="宋体" w:hAnsi="宋体" w:cs="Times New Roman"/>
          <w:b/>
          <w:color w:val="FF0000"/>
        </w:rPr>
        <w:instrText>0.047</w:instrText>
      </w:r>
      <w:r w:rsidRPr="006D21FF">
        <w:rPr>
          <w:rFonts w:ascii="宋体" w:hAnsi="宋体" w:cs="Times New Roman" w:hint="eastAsia"/>
          <w:b/>
          <w:color w:val="FF0000"/>
        </w:rPr>
        <w:instrText>*100\#0.00%</w:instrText>
      </w:r>
      <w:r w:rsidRPr="006D21FF">
        <w:rPr>
          <w:rFonts w:ascii="宋体" w:hAnsi="宋体" w:cs="Times New Roman"/>
          <w:b/>
          <w:color w:val="FF0000"/>
        </w:rPr>
        <w:instrText xml:space="preserve"> </w:instrText>
      </w:r>
      <w:r w:rsidR="00092014" w:rsidRPr="006D21FF">
        <w:rPr>
          <w:rFonts w:ascii="宋体" w:hAnsi="宋体" w:cs="Times New Roman"/>
          <w:b/>
          <w:color w:val="FF0000"/>
        </w:rPr>
        <w:fldChar w:fldCharType="end"/>
      </w:r>
      <w:r w:rsidRPr="006D21FF">
        <w:rPr>
          <w:rFonts w:ascii="宋体" w:hAnsi="宋体" w:cs="Times New Roman"/>
          <w:b/>
          <w:color w:val="FF0000"/>
        </w:rPr>
        <w:t>×</w:t>
      </w:r>
      <w:r w:rsidR="00133B9E">
        <w:rPr>
          <w:rFonts w:ascii="宋体" w:hAnsi="宋体" w:cs="Times New Roman" w:hint="eastAsia"/>
          <w:b/>
          <w:color w:val="FF0000"/>
        </w:rPr>
        <w:t>203</w:t>
      </w:r>
      <w:r w:rsidR="00A45BDA">
        <w:rPr>
          <w:rFonts w:ascii="宋体" w:hAnsi="宋体" w:cs="Times New Roman" w:hint="eastAsia"/>
          <w:b/>
          <w:color w:val="FF0000"/>
        </w:rPr>
        <w:t>/</w:t>
      </w:r>
      <w:r w:rsidR="00CB2369" w:rsidRPr="006D21FF">
        <w:rPr>
          <w:rFonts w:ascii="宋体" w:hAnsi="宋体" w:cs="Times New Roman" w:hint="eastAsia"/>
          <w:b/>
          <w:color w:val="FF0000"/>
        </w:rPr>
        <w:t>365</w:t>
      </w:r>
      <w:r w:rsidR="009A7759" w:rsidRPr="006D21FF">
        <w:rPr>
          <w:rFonts w:ascii="宋体" w:hAnsi="宋体" w:cs="Times New Roman" w:hint="eastAsia"/>
          <w:b/>
          <w:color w:val="FF0000"/>
        </w:rPr>
        <w:t>=</w:t>
      </w:r>
      <w:r w:rsidR="00133B9E">
        <w:rPr>
          <w:rFonts w:ascii="宋体" w:hAnsi="宋体" w:cs="Times New Roman" w:hint="eastAsia"/>
          <w:b/>
          <w:color w:val="FF0000"/>
        </w:rPr>
        <w:t>33369.86</w:t>
      </w:r>
      <w:r w:rsidRPr="006D21FF">
        <w:rPr>
          <w:rFonts w:ascii="宋体" w:hAnsi="宋体" w:cs="Times New Roman" w:hint="eastAsia"/>
          <w:b/>
          <w:color w:val="FF0000"/>
        </w:rPr>
        <w:t>元。</w:t>
      </w:r>
    </w:p>
    <w:p w:rsidR="00C42E1A" w:rsidRPr="006D21FF" w:rsidRDefault="00C42E1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情景2．若本理财计划成立，假定理财本金为人民币1,000,000元，实际理财天数为10天，客户预期最高年化收益率为</w:t>
      </w:r>
      <w:r w:rsidR="00133B9E">
        <w:rPr>
          <w:rFonts w:ascii="宋体" w:hAnsi="宋体" w:cs="Times New Roman" w:hint="eastAsia"/>
          <w:b/>
          <w:color w:val="FF0000"/>
        </w:rPr>
        <w:t>6.00</w:t>
      </w:r>
      <w:r w:rsidR="006C78C8">
        <w:rPr>
          <w:rFonts w:ascii="宋体" w:hAnsi="宋体" w:cs="Times New Roman" w:hint="eastAsia"/>
          <w:b/>
          <w:color w:val="FF0000"/>
        </w:rPr>
        <w:t>%</w:t>
      </w:r>
      <w:r w:rsidRPr="006D21FF">
        <w:rPr>
          <w:rFonts w:ascii="宋体" w:hAnsi="宋体" w:cs="Times New Roman" w:hint="eastAsia"/>
          <w:color w:val="000000"/>
        </w:rPr>
        <w:t>，</w:t>
      </w:r>
      <w:r w:rsidRPr="006D21FF">
        <w:rPr>
          <w:rFonts w:ascii="宋体" w:hAnsi="宋体" w:cs="Times New Roman"/>
          <w:color w:val="000000"/>
        </w:rPr>
        <w:t>当期</w:t>
      </w:r>
      <w:r w:rsidRPr="006D21FF">
        <w:rPr>
          <w:rFonts w:ascii="宋体" w:hAnsi="宋体" w:cs="Times New Roman" w:hint="eastAsia"/>
          <w:color w:val="000000"/>
        </w:rPr>
        <w:t xml:space="preserve">实际年化收益率为1.00%。则投资者持有到期理财收益为：1,000,000 </w:t>
      </w:r>
      <w:r w:rsidRPr="006D21FF">
        <w:rPr>
          <w:rFonts w:ascii="宋体" w:hAnsi="宋体" w:cs="Times New Roman"/>
          <w:color w:val="000000"/>
        </w:rPr>
        <w:t>×</w:t>
      </w:r>
      <w:r w:rsidRPr="006D21FF">
        <w:rPr>
          <w:rFonts w:ascii="宋体" w:hAnsi="宋体" w:cs="Times New Roman" w:hint="eastAsia"/>
          <w:color w:val="000000"/>
        </w:rPr>
        <w:t xml:space="preserve"> 1.00% </w:t>
      </w:r>
      <w:r w:rsidRPr="006D21FF">
        <w:rPr>
          <w:rFonts w:ascii="宋体" w:hAnsi="宋体" w:cs="Times New Roman"/>
          <w:color w:val="000000"/>
        </w:rPr>
        <w:t>×</w:t>
      </w:r>
      <w:r w:rsidR="006E37BF">
        <w:rPr>
          <w:rFonts w:ascii="宋体" w:hAnsi="宋体" w:cs="Times New Roman" w:hint="eastAsia"/>
          <w:color w:val="000000"/>
        </w:rPr>
        <w:t xml:space="preserve">10/365 </w:t>
      </w:r>
      <w:r w:rsidRPr="006D21FF">
        <w:rPr>
          <w:rFonts w:ascii="宋体" w:hAnsi="宋体" w:cs="Times New Roman" w:hint="eastAsia"/>
          <w:color w:val="000000"/>
        </w:rPr>
        <w:t>=273.97元。</w:t>
      </w:r>
    </w:p>
    <w:p w:rsidR="00DA580A"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最不利的投资情形：投资者无法收回投资</w:t>
      </w:r>
      <w:r w:rsidR="00BC7465" w:rsidRPr="006D21FF">
        <w:rPr>
          <w:rFonts w:ascii="宋体" w:hAnsi="宋体" w:cs="Times New Roman" w:hint="eastAsia"/>
          <w:b/>
          <w:color w:val="000000"/>
        </w:rPr>
        <w:t>本金</w:t>
      </w:r>
      <w:r w:rsidRPr="006D21FF">
        <w:rPr>
          <w:rFonts w:ascii="宋体" w:hAnsi="宋体" w:cs="Times New Roman" w:hint="eastAsia"/>
          <w:b/>
          <w:color w:val="000000"/>
        </w:rPr>
        <w:t>。</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6、理财资金</w:t>
      </w:r>
      <w:r w:rsidRPr="006D21FF">
        <w:rPr>
          <w:rFonts w:ascii="宋体" w:hAnsi="宋体" w:cs="Times New Roman"/>
          <w:b/>
          <w:color w:val="000000"/>
        </w:rPr>
        <w:t>支付</w:t>
      </w:r>
    </w:p>
    <w:p w:rsidR="00D145F9" w:rsidRPr="006D21FF" w:rsidRDefault="00D145F9"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（1）本理财产品宣告成立之日起，</w:t>
      </w:r>
      <w:r w:rsidR="00C03F41" w:rsidRPr="006D21FF">
        <w:rPr>
          <w:rFonts w:ascii="宋体" w:hAnsi="宋体" w:cs="Times New Roman" w:hint="eastAsia"/>
          <w:color w:val="000000"/>
        </w:rPr>
        <w:t>平安银行</w:t>
      </w:r>
      <w:r w:rsidRPr="006D21FF">
        <w:rPr>
          <w:rFonts w:ascii="宋体" w:hAnsi="宋体" w:cs="Times New Roman" w:hint="eastAsia"/>
          <w:color w:val="000000"/>
        </w:rPr>
        <w:t>将对理财资金按照合约约定进行管理和运作，理财资金不另计存款利息。在理财产品成立之前交存于银行的理财本金，从客户认购日起到本理财产品</w:t>
      </w:r>
      <w:r w:rsidRPr="006D21FF">
        <w:rPr>
          <w:rFonts w:ascii="宋体" w:hAnsi="宋体" w:cs="Times New Roman"/>
          <w:color w:val="000000"/>
        </w:rPr>
        <w:t>认购划款日</w:t>
      </w:r>
      <w:r w:rsidRPr="006D21FF">
        <w:rPr>
          <w:rFonts w:ascii="宋体" w:hAnsi="宋体" w:cs="Times New Roman" w:hint="eastAsia"/>
          <w:color w:val="000000"/>
        </w:rPr>
        <w:t>（不含）为止按照活期存款利率计付利息。理财合约终止后由银行进行最终清算，并按约定支付应付款项。</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w:t>
      </w:r>
      <w:r w:rsidR="00D145F9" w:rsidRPr="006D21FF">
        <w:rPr>
          <w:rFonts w:ascii="宋体" w:hAnsi="宋体" w:cs="Times New Roman" w:hint="eastAsia"/>
          <w:color w:val="000000"/>
        </w:rPr>
        <w:t>2</w:t>
      </w:r>
      <w:r w:rsidRPr="006D21FF">
        <w:rPr>
          <w:rFonts w:ascii="宋体" w:hAnsi="宋体" w:cs="Times New Roman" w:hint="eastAsia"/>
          <w:color w:val="000000"/>
        </w:rPr>
        <w:t>）</w:t>
      </w:r>
      <w:r w:rsidRPr="006D21FF">
        <w:rPr>
          <w:rFonts w:ascii="宋体" w:hAnsi="宋体" w:cs="Times New Roman"/>
          <w:color w:val="000000"/>
        </w:rPr>
        <w:t>本金</w:t>
      </w:r>
      <w:r w:rsidR="0046250E" w:rsidRPr="006D21FF">
        <w:rPr>
          <w:rFonts w:ascii="宋体" w:hAnsi="宋体" w:cs="Times New Roman" w:hint="eastAsia"/>
          <w:color w:val="000000"/>
        </w:rPr>
        <w:t>及收益</w:t>
      </w:r>
      <w:r w:rsidRPr="006D21FF">
        <w:rPr>
          <w:rFonts w:ascii="宋体" w:hAnsi="宋体" w:cs="Times New Roman"/>
          <w:color w:val="000000"/>
        </w:rPr>
        <w:t>支付：银行到期终止理财</w:t>
      </w:r>
      <w:r w:rsidR="00046944" w:rsidRPr="006D21FF">
        <w:rPr>
          <w:rFonts w:ascii="宋体" w:hAnsi="宋体" w:cs="Times New Roman" w:hint="eastAsia"/>
          <w:color w:val="000000"/>
        </w:rPr>
        <w:t>、</w:t>
      </w:r>
      <w:r w:rsidR="00046944" w:rsidRPr="006D21FF">
        <w:rPr>
          <w:rFonts w:ascii="宋体" w:hAnsi="宋体" w:cs="Times New Roman"/>
          <w:color w:val="000000"/>
        </w:rPr>
        <w:t>提前终止理财</w:t>
      </w:r>
      <w:r w:rsidRPr="006D21FF">
        <w:rPr>
          <w:rFonts w:ascii="宋体" w:hAnsi="宋体" w:cs="Times New Roman"/>
          <w:color w:val="000000"/>
        </w:rPr>
        <w:t>或</w:t>
      </w:r>
      <w:r w:rsidR="00046944" w:rsidRPr="006D21FF">
        <w:rPr>
          <w:rFonts w:ascii="宋体" w:hAnsi="宋体" w:cs="Times New Roman" w:hint="eastAsia"/>
          <w:color w:val="000000"/>
        </w:rPr>
        <w:t>延期</w:t>
      </w:r>
      <w:r w:rsidRPr="006D21FF">
        <w:rPr>
          <w:rFonts w:ascii="宋体" w:hAnsi="宋体" w:cs="Times New Roman"/>
          <w:color w:val="000000"/>
        </w:rPr>
        <w:t>终止理财，则</w:t>
      </w:r>
      <w:r w:rsidR="00C03F41" w:rsidRPr="006D21FF">
        <w:rPr>
          <w:rFonts w:ascii="宋体" w:hAnsi="宋体" w:cs="Times New Roman"/>
          <w:color w:val="000000"/>
        </w:rPr>
        <w:t>平安银行</w:t>
      </w:r>
      <w:r w:rsidRPr="006D21FF">
        <w:rPr>
          <w:rFonts w:ascii="宋体" w:hAnsi="宋体" w:cs="Times New Roman"/>
          <w:color w:val="000000"/>
        </w:rPr>
        <w:t>对投资者归还本金</w:t>
      </w:r>
      <w:r w:rsidR="0046250E" w:rsidRPr="006D21FF">
        <w:rPr>
          <w:rFonts w:ascii="宋体" w:hAnsi="宋体" w:cs="Times New Roman" w:hint="eastAsia"/>
          <w:color w:val="000000"/>
        </w:rPr>
        <w:t>和计算到期收益</w:t>
      </w:r>
      <w:r w:rsidRPr="006D21FF">
        <w:rPr>
          <w:rFonts w:ascii="宋体" w:hAnsi="宋体" w:cs="Times New Roman"/>
          <w:color w:val="000000"/>
        </w:rPr>
        <w:t>，并在到期日</w:t>
      </w:r>
      <w:r w:rsidR="00046944" w:rsidRPr="006D21FF">
        <w:rPr>
          <w:rFonts w:ascii="宋体" w:hAnsi="宋体" w:cs="Times New Roman" w:hint="eastAsia"/>
          <w:color w:val="000000"/>
        </w:rPr>
        <w:t>、</w:t>
      </w:r>
      <w:r w:rsidRPr="006D21FF">
        <w:rPr>
          <w:rFonts w:ascii="宋体" w:hAnsi="宋体" w:cs="Times New Roman"/>
          <w:color w:val="000000"/>
        </w:rPr>
        <w:t>提前终止日</w:t>
      </w:r>
      <w:r w:rsidR="00046944" w:rsidRPr="006D21FF">
        <w:rPr>
          <w:rFonts w:ascii="宋体" w:hAnsi="宋体" w:cs="Times New Roman" w:hint="eastAsia"/>
          <w:color w:val="000000"/>
        </w:rPr>
        <w:t>或延期终止日</w:t>
      </w:r>
      <w:r w:rsidRPr="006D21FF">
        <w:rPr>
          <w:rFonts w:ascii="宋体" w:hAnsi="宋体" w:cs="Times New Roman"/>
          <w:color w:val="000000"/>
        </w:rPr>
        <w:t>后</w:t>
      </w:r>
      <w:r w:rsidRPr="006D21FF">
        <w:rPr>
          <w:rFonts w:ascii="宋体" w:hAnsi="宋体" w:cs="Times New Roman" w:hint="eastAsia"/>
          <w:color w:val="000000"/>
        </w:rPr>
        <w:t>2</w:t>
      </w:r>
      <w:r w:rsidRPr="006D21FF">
        <w:rPr>
          <w:rFonts w:ascii="宋体" w:hAnsi="宋体" w:cs="Times New Roman"/>
          <w:color w:val="000000"/>
        </w:rPr>
        <w:t>个工作日（T+</w:t>
      </w:r>
      <w:r w:rsidRPr="006D21FF">
        <w:rPr>
          <w:rFonts w:ascii="宋体" w:hAnsi="宋体" w:cs="Times New Roman" w:hint="eastAsia"/>
          <w:color w:val="000000"/>
        </w:rPr>
        <w:t>2</w:t>
      </w:r>
      <w:r w:rsidRPr="006D21FF">
        <w:rPr>
          <w:rFonts w:ascii="宋体" w:hAnsi="宋体" w:cs="Times New Roman"/>
          <w:color w:val="000000"/>
        </w:rPr>
        <w:t>）内将本金</w:t>
      </w:r>
      <w:r w:rsidR="0046250E" w:rsidRPr="006D21FF">
        <w:rPr>
          <w:rFonts w:ascii="宋体" w:hAnsi="宋体" w:cs="Times New Roman" w:hint="eastAsia"/>
          <w:color w:val="000000"/>
        </w:rPr>
        <w:t>及收益</w:t>
      </w:r>
      <w:r w:rsidRPr="006D21FF">
        <w:rPr>
          <w:rFonts w:ascii="宋体" w:hAnsi="宋体" w:cs="Times New Roman"/>
          <w:color w:val="000000"/>
        </w:rPr>
        <w:t>划转到投资者指定账户，逢节假日顺延。</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7、特别说明</w:t>
      </w:r>
    </w:p>
    <w:p w:rsidR="00DE44C2" w:rsidRPr="006D21FF" w:rsidRDefault="00DE44C2"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（1）理财期间不开放赎回，理财产品在理财期到期日或实际终止日时一次兑付。</w:t>
      </w:r>
    </w:p>
    <w:p w:rsidR="00DE44C2" w:rsidRPr="006D21FF" w:rsidRDefault="00DE44C2"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（2）提前/延期终止权利。在理财产品到期前，投资者无提前/延期终止权，如遇</w:t>
      </w:r>
      <w:r w:rsidRPr="006D21FF">
        <w:rPr>
          <w:rFonts w:ascii="宋体" w:hAnsi="宋体" w:cs="Times New Roman"/>
          <w:color w:val="000000"/>
        </w:rPr>
        <w:t>国家金融政策出现重大调整</w:t>
      </w:r>
      <w:r w:rsidRPr="006D21FF">
        <w:rPr>
          <w:rFonts w:ascii="宋体" w:hAnsi="宋体" w:cs="Times New Roman" w:hint="eastAsia"/>
          <w:color w:val="000000"/>
        </w:rPr>
        <w:t>、市场发生重大变化等情形</w:t>
      </w:r>
      <w:r w:rsidRPr="006D21FF">
        <w:rPr>
          <w:rFonts w:ascii="宋体" w:hAnsi="宋体" w:cs="Times New Roman"/>
          <w:color w:val="000000"/>
        </w:rPr>
        <w:t>并影响本产品的正常运作</w:t>
      </w:r>
      <w:r w:rsidRPr="006D21FF">
        <w:rPr>
          <w:rFonts w:ascii="宋体" w:hAnsi="宋体" w:cs="Times New Roman" w:hint="eastAsia"/>
          <w:color w:val="000000"/>
        </w:rPr>
        <w:t>，以及</w:t>
      </w:r>
      <w:r w:rsidRPr="006D21FF">
        <w:rPr>
          <w:rFonts w:ascii="宋体" w:hAnsi="宋体" w:cs="Times New Roman"/>
          <w:color w:val="000000"/>
        </w:rPr>
        <w:t>其他</w:t>
      </w:r>
      <w:r w:rsidR="00C03F41" w:rsidRPr="006D21FF">
        <w:rPr>
          <w:rFonts w:ascii="宋体" w:hAnsi="宋体" w:cs="Times New Roman" w:hint="eastAsia"/>
          <w:color w:val="000000"/>
        </w:rPr>
        <w:t>平安银行</w:t>
      </w:r>
      <w:r w:rsidRPr="006D21FF">
        <w:rPr>
          <w:rFonts w:ascii="宋体" w:hAnsi="宋体" w:cs="Times New Roman" w:hint="eastAsia"/>
          <w:color w:val="000000"/>
        </w:rPr>
        <w:t>股份有限公司</w:t>
      </w:r>
      <w:r w:rsidRPr="006D21FF">
        <w:rPr>
          <w:rFonts w:ascii="宋体" w:hAnsi="宋体" w:cs="Times New Roman"/>
          <w:color w:val="000000"/>
        </w:rPr>
        <w:t>认为需要提前</w:t>
      </w:r>
      <w:r w:rsidRPr="006D21FF">
        <w:rPr>
          <w:rFonts w:ascii="宋体" w:hAnsi="宋体" w:cs="Times New Roman" w:hint="eastAsia"/>
          <w:color w:val="000000"/>
        </w:rPr>
        <w:t>/延期</w:t>
      </w:r>
      <w:r w:rsidRPr="006D21FF">
        <w:rPr>
          <w:rFonts w:ascii="宋体" w:hAnsi="宋体" w:cs="Times New Roman"/>
          <w:color w:val="000000"/>
        </w:rPr>
        <w:t>终止本理财产品的情况时，</w:t>
      </w:r>
      <w:r w:rsidR="00C03F41" w:rsidRPr="006D21FF">
        <w:rPr>
          <w:rFonts w:ascii="宋体" w:hAnsi="宋体" w:cs="Times New Roman" w:hint="eastAsia"/>
          <w:color w:val="000000"/>
        </w:rPr>
        <w:t>平安银行</w:t>
      </w:r>
      <w:r w:rsidRPr="006D21FF">
        <w:rPr>
          <w:rFonts w:ascii="宋体" w:hAnsi="宋体" w:cs="Times New Roman" w:hint="eastAsia"/>
          <w:color w:val="000000"/>
        </w:rPr>
        <w:t>有提前/延期终止权。如果</w:t>
      </w:r>
      <w:r w:rsidR="00C03F41" w:rsidRPr="006D21FF">
        <w:rPr>
          <w:rFonts w:ascii="宋体" w:hAnsi="宋体" w:cs="Times New Roman" w:hint="eastAsia"/>
          <w:color w:val="000000"/>
        </w:rPr>
        <w:t>平安银行</w:t>
      </w:r>
      <w:r w:rsidRPr="006D21FF">
        <w:rPr>
          <w:rFonts w:ascii="宋体" w:hAnsi="宋体" w:cs="Times New Roman" w:hint="eastAsia"/>
          <w:color w:val="000000"/>
        </w:rPr>
        <w:t>提前/延期终止本理财产品，</w:t>
      </w:r>
      <w:r w:rsidR="00C03F41" w:rsidRPr="006D21FF">
        <w:rPr>
          <w:rFonts w:ascii="宋体" w:hAnsi="宋体" w:cs="Times New Roman" w:hint="eastAsia"/>
          <w:color w:val="000000"/>
        </w:rPr>
        <w:t>平安银行</w:t>
      </w:r>
      <w:r w:rsidRPr="006D21FF">
        <w:rPr>
          <w:rFonts w:ascii="宋体" w:hAnsi="宋体" w:cs="Times New Roman" w:hint="eastAsia"/>
          <w:color w:val="000000"/>
        </w:rPr>
        <w:t>将提前2个工作日通知投资者，并在提前/延期终止后的2个工作日内向投资者返还理财本金和收益，理财收益按实际理财期限计算。</w:t>
      </w:r>
    </w:p>
    <w:p w:rsidR="003E1110" w:rsidRPr="006D21FF" w:rsidRDefault="003E1110" w:rsidP="006D21FF">
      <w:pPr>
        <w:pStyle w:val="a5"/>
        <w:adjustRightInd/>
        <w:snapToGrid/>
        <w:ind w:leftChars="-143" w:left="-429" w:rightChars="-161" w:right="-483" w:firstLine="482"/>
        <w:contextualSpacing/>
        <w:mirrorIndents/>
        <w:rPr>
          <w:rFonts w:ascii="宋体" w:hAnsi="宋体"/>
          <w:b/>
          <w:sz w:val="24"/>
          <w:szCs w:val="24"/>
        </w:rPr>
      </w:pPr>
      <w:r w:rsidRPr="006D21FF">
        <w:rPr>
          <w:rFonts w:ascii="宋体" w:hAnsi="宋体" w:hint="eastAsia"/>
          <w:b/>
          <w:sz w:val="24"/>
          <w:szCs w:val="24"/>
        </w:rPr>
        <w:t>四、风险揭示</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b/>
          <w:color w:val="000000"/>
        </w:rPr>
        <w:t>本理财产品有投资风险，</w:t>
      </w:r>
      <w:r w:rsidR="00AB7B4A" w:rsidRPr="006D21FF">
        <w:rPr>
          <w:rFonts w:ascii="宋体" w:hAnsi="宋体" w:cs="Times New Roman" w:hint="eastAsia"/>
          <w:b/>
          <w:color w:val="000000"/>
        </w:rPr>
        <w:t>不保证理财</w:t>
      </w:r>
      <w:r w:rsidR="00BC7465" w:rsidRPr="006D21FF">
        <w:rPr>
          <w:rFonts w:ascii="宋体" w:hAnsi="宋体" w:cs="Times New Roman" w:hint="eastAsia"/>
          <w:b/>
          <w:color w:val="000000"/>
        </w:rPr>
        <w:t>本金和</w:t>
      </w:r>
      <w:r w:rsidR="00AB7B4A" w:rsidRPr="006D21FF">
        <w:rPr>
          <w:rFonts w:ascii="宋体" w:hAnsi="宋体" w:cs="Times New Roman" w:hint="eastAsia"/>
          <w:b/>
          <w:color w:val="000000"/>
        </w:rPr>
        <w:t>收益</w:t>
      </w:r>
      <w:r w:rsidRPr="006D21FF">
        <w:rPr>
          <w:rFonts w:ascii="宋体" w:hAnsi="宋体" w:cs="Times New Roman"/>
          <w:b/>
          <w:color w:val="000000"/>
        </w:rPr>
        <w:t>，投资者应该充分认识投资风险，谨慎投资。</w:t>
      </w:r>
      <w:r w:rsidR="003F25A9" w:rsidRPr="006D21FF">
        <w:rPr>
          <w:rFonts w:ascii="宋体" w:hAnsi="宋体" w:cs="Times New Roman" w:hint="eastAsia"/>
          <w:b/>
          <w:color w:val="000000"/>
        </w:rPr>
        <w:t>本</w:t>
      </w:r>
      <w:r w:rsidR="003F25A9" w:rsidRPr="006D21FF">
        <w:rPr>
          <w:rFonts w:ascii="宋体" w:hAnsi="宋体" w:cs="Times New Roman" w:hint="eastAsia"/>
          <w:b/>
          <w:color w:val="000000"/>
        </w:rPr>
        <w:lastRenderedPageBreak/>
        <w:t>产品</w:t>
      </w:r>
      <w:r w:rsidRPr="006D21FF">
        <w:rPr>
          <w:rFonts w:ascii="宋体" w:hAnsi="宋体" w:cs="Times New Roman"/>
          <w:b/>
          <w:color w:val="000000"/>
        </w:rPr>
        <w:t>风险揭示内容</w:t>
      </w:r>
      <w:r w:rsidR="003F25A9" w:rsidRPr="006D21FF">
        <w:rPr>
          <w:rFonts w:ascii="宋体" w:hAnsi="宋体" w:cs="Times New Roman" w:hint="eastAsia"/>
          <w:b/>
          <w:color w:val="000000"/>
        </w:rPr>
        <w:t>详见《</w:t>
      </w:r>
      <w:r w:rsidR="00021D75">
        <w:rPr>
          <w:rFonts w:ascii="宋体" w:hAnsi="宋体" w:cs="Times New Roman" w:hint="eastAsia"/>
          <w:b/>
          <w:color w:val="000000"/>
        </w:rPr>
        <w:t>平安财富-</w:t>
      </w:r>
      <w:r w:rsidR="006C78C8">
        <w:rPr>
          <w:rFonts w:ascii="宋体" w:hAnsi="宋体" w:cs="Times New Roman" w:hint="eastAsia"/>
          <w:b/>
          <w:color w:val="000000"/>
        </w:rPr>
        <w:t>私行专享尊贵</w:t>
      </w:r>
      <w:r w:rsidR="00021D75">
        <w:rPr>
          <w:rFonts w:ascii="宋体" w:hAnsi="宋体" w:cs="Times New Roman" w:hint="eastAsia"/>
          <w:b/>
          <w:color w:val="000000"/>
        </w:rPr>
        <w:t>智慧资产管理类</w:t>
      </w:r>
      <w:r w:rsidR="00C97A3B" w:rsidRPr="00E449C8">
        <w:rPr>
          <w:rFonts w:ascii="宋体" w:hAnsi="宋体" w:cs="Times New Roman" w:hint="eastAsia"/>
          <w:b/>
          <w:color w:val="FF0000"/>
          <w:u w:val="single"/>
        </w:rPr>
        <w:t>2013年</w:t>
      </w:r>
      <w:r w:rsidR="006C78C8">
        <w:rPr>
          <w:rFonts w:ascii="宋体" w:hAnsi="宋体" w:cs="Times New Roman" w:hint="eastAsia"/>
          <w:b/>
          <w:color w:val="FF0000"/>
          <w:u w:val="single"/>
        </w:rPr>
        <w:t>3</w:t>
      </w:r>
      <w:r w:rsidR="00133B9E">
        <w:rPr>
          <w:rFonts w:ascii="宋体" w:hAnsi="宋体" w:cs="Times New Roman" w:hint="eastAsia"/>
          <w:b/>
          <w:color w:val="FF0000"/>
          <w:u w:val="single"/>
        </w:rPr>
        <w:t>4</w:t>
      </w:r>
      <w:r w:rsidR="006C78C8">
        <w:rPr>
          <w:rFonts w:ascii="宋体" w:hAnsi="宋体" w:cs="Times New Roman" w:hint="eastAsia"/>
          <w:b/>
          <w:color w:val="FF0000"/>
          <w:u w:val="single"/>
        </w:rPr>
        <w:t>期</w:t>
      </w:r>
      <w:r w:rsidR="00DE44C2" w:rsidRPr="006D21FF">
        <w:rPr>
          <w:rFonts w:ascii="宋体" w:hAnsi="宋体" w:cs="Times New Roman" w:hint="eastAsia"/>
          <w:b/>
          <w:color w:val="000000"/>
        </w:rPr>
        <w:t>人民币理财产品</w:t>
      </w:r>
      <w:r w:rsidR="003F25A9" w:rsidRPr="006D21FF">
        <w:rPr>
          <w:rFonts w:ascii="宋体" w:hAnsi="宋体" w:cs="Times New Roman" w:hint="eastAsia"/>
          <w:b/>
          <w:color w:val="000000"/>
        </w:rPr>
        <w:t>风险揭示书》，</w:t>
      </w:r>
      <w:r w:rsidRPr="006D21FF">
        <w:rPr>
          <w:rFonts w:ascii="宋体" w:hAnsi="宋体" w:cs="Times New Roman"/>
          <w:b/>
          <w:color w:val="000000"/>
        </w:rPr>
        <w:t>请投资者详细阅读，在充分了解并清楚知晓本产品蕴含风险的基础上，通过自身判断自主参与交易，并自愿承担相关风险</w:t>
      </w:r>
      <w:r w:rsidR="003F25A9" w:rsidRPr="006D21FF">
        <w:rPr>
          <w:rFonts w:ascii="宋体" w:hAnsi="宋体" w:cs="Times New Roman" w:hint="eastAsia"/>
          <w:b/>
          <w:color w:val="000000"/>
        </w:rPr>
        <w:t>。</w:t>
      </w:r>
    </w:p>
    <w:p w:rsidR="003E1110" w:rsidRPr="006D21FF" w:rsidRDefault="003E1110" w:rsidP="006D21FF">
      <w:pPr>
        <w:pStyle w:val="a5"/>
        <w:adjustRightInd/>
        <w:snapToGrid/>
        <w:ind w:leftChars="-143" w:left="-429" w:rightChars="-161" w:right="-483" w:firstLine="482"/>
        <w:contextualSpacing/>
        <w:mirrorIndents/>
        <w:rPr>
          <w:rFonts w:ascii="宋体" w:hAnsi="宋体"/>
          <w:b/>
          <w:sz w:val="24"/>
          <w:szCs w:val="24"/>
        </w:rPr>
      </w:pPr>
      <w:r w:rsidRPr="006D21FF">
        <w:rPr>
          <w:rFonts w:ascii="宋体" w:hAnsi="宋体" w:hint="eastAsia"/>
          <w:b/>
          <w:sz w:val="24"/>
          <w:szCs w:val="24"/>
        </w:rPr>
        <w:t>五、信息披露</w:t>
      </w:r>
    </w:p>
    <w:p w:rsidR="003F25A9"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本理财产品的公开信息披露将通过</w:t>
      </w:r>
      <w:r w:rsidR="00C03F41" w:rsidRPr="006D21FF">
        <w:rPr>
          <w:rFonts w:ascii="宋体" w:hAnsi="宋体" w:cs="Times New Roman" w:hint="eastAsia"/>
          <w:color w:val="000000"/>
        </w:rPr>
        <w:t>平安银行</w:t>
      </w:r>
      <w:r w:rsidRPr="006D21FF">
        <w:rPr>
          <w:rFonts w:ascii="宋体" w:hAnsi="宋体" w:cs="Times New Roman" w:hint="eastAsia"/>
          <w:color w:val="000000"/>
        </w:rPr>
        <w:t>认为适当的方式、地点进行。</w:t>
      </w:r>
      <w:r w:rsidR="001836E7" w:rsidRPr="006D21FF">
        <w:rPr>
          <w:rFonts w:ascii="宋体" w:hAnsi="宋体" w:cs="Times New Roman" w:hint="eastAsia"/>
          <w:color w:val="000000"/>
        </w:rPr>
        <w:t>银行、投资者同意理财资产报告无需审计。如监管机构认为需要审计，相关审计费用由理财资产承担。</w:t>
      </w:r>
    </w:p>
    <w:p w:rsidR="00064FD6" w:rsidRPr="006D21FF" w:rsidRDefault="003F25A9"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本产品信息披露的具体内容和时间规定等详见《</w:t>
      </w:r>
      <w:r w:rsidR="00C03F41" w:rsidRPr="006D21FF">
        <w:rPr>
          <w:rFonts w:ascii="宋体" w:hAnsi="宋体" w:cs="Times New Roman" w:hint="eastAsia"/>
          <w:b/>
          <w:color w:val="000000"/>
        </w:rPr>
        <w:t>平安银行</w:t>
      </w:r>
      <w:r w:rsidRPr="006D21FF">
        <w:rPr>
          <w:rFonts w:ascii="宋体" w:hAnsi="宋体" w:cs="Times New Roman" w:hint="eastAsia"/>
          <w:b/>
          <w:color w:val="000000"/>
        </w:rPr>
        <w:t>理财产品客户权益须知》，</w:t>
      </w:r>
      <w:r w:rsidRPr="006D21FF">
        <w:rPr>
          <w:rFonts w:ascii="宋体" w:hAnsi="宋体" w:cs="Times New Roman"/>
          <w:b/>
          <w:color w:val="000000"/>
        </w:rPr>
        <w:t>请投资者详细阅读</w:t>
      </w:r>
      <w:r w:rsidRPr="006D21FF">
        <w:rPr>
          <w:rFonts w:ascii="宋体" w:hAnsi="宋体" w:cs="Times New Roman" w:hint="eastAsia"/>
          <w:b/>
          <w:color w:val="000000"/>
        </w:rPr>
        <w:t>并注意查阅相关产品信息。</w:t>
      </w:r>
    </w:p>
    <w:p w:rsidR="003E1110" w:rsidRPr="006D21FF" w:rsidRDefault="003E1110" w:rsidP="006D21FF">
      <w:pPr>
        <w:pStyle w:val="a5"/>
        <w:adjustRightInd/>
        <w:snapToGrid/>
        <w:ind w:leftChars="-143" w:left="-429" w:rightChars="-161" w:right="-483" w:firstLine="482"/>
        <w:contextualSpacing/>
        <w:mirrorIndents/>
        <w:rPr>
          <w:rFonts w:ascii="宋体" w:hAnsi="宋体"/>
          <w:b/>
          <w:sz w:val="24"/>
          <w:szCs w:val="24"/>
        </w:rPr>
      </w:pPr>
      <w:r w:rsidRPr="006D21FF">
        <w:rPr>
          <w:rFonts w:ascii="宋体" w:hAnsi="宋体" w:hint="eastAsia"/>
          <w:b/>
          <w:sz w:val="24"/>
          <w:szCs w:val="24"/>
        </w:rPr>
        <w:t>六、其他重要事项说明</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1、由于投资者原因导致</w:t>
      </w:r>
      <w:r w:rsidR="00C03F41" w:rsidRPr="006D21FF">
        <w:rPr>
          <w:rFonts w:ascii="宋体" w:hAnsi="宋体" w:cs="Times New Roman" w:hint="eastAsia"/>
          <w:b/>
          <w:color w:val="000000"/>
        </w:rPr>
        <w:t>平安银行</w:t>
      </w:r>
      <w:r w:rsidRPr="006D21FF">
        <w:rPr>
          <w:rFonts w:ascii="宋体" w:hAnsi="宋体" w:cs="Times New Roman" w:hint="eastAsia"/>
          <w:b/>
          <w:color w:val="000000"/>
        </w:rPr>
        <w:t>终止双方理财关系的情形</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（1）若因投资者原因导致扣款失败，则投资者认购本理财产品失败。</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（2）若投资者的理财资金被有权机关扣划或者采取其它限制权利的措施，则视同投资者违约，</w:t>
      </w:r>
      <w:r w:rsidR="00C03F41" w:rsidRPr="006D21FF">
        <w:rPr>
          <w:rFonts w:ascii="宋体" w:hAnsi="宋体" w:cs="Times New Roman" w:hint="eastAsia"/>
          <w:color w:val="000000"/>
        </w:rPr>
        <w:t>平安银行</w:t>
      </w:r>
      <w:r w:rsidRPr="006D21FF">
        <w:rPr>
          <w:rFonts w:ascii="宋体" w:hAnsi="宋体" w:cs="Times New Roman" w:hint="eastAsia"/>
          <w:color w:val="000000"/>
        </w:rPr>
        <w:t>有权自扣划或采取其它限制权利的措施之日起终止与该投资者对于本理财产品的理财关系，投资者应自行承担违约导致的损失，如因此造成</w:t>
      </w:r>
      <w:r w:rsidR="00C03F41" w:rsidRPr="006D21FF">
        <w:rPr>
          <w:rFonts w:ascii="宋体" w:hAnsi="宋体" w:cs="Times New Roman" w:hint="eastAsia"/>
          <w:color w:val="000000"/>
        </w:rPr>
        <w:t>平安银行</w:t>
      </w:r>
      <w:r w:rsidRPr="006D21FF">
        <w:rPr>
          <w:rFonts w:ascii="宋体" w:hAnsi="宋体" w:cs="Times New Roman" w:hint="eastAsia"/>
          <w:color w:val="000000"/>
        </w:rPr>
        <w:t>损失，投资者应赔偿</w:t>
      </w:r>
      <w:r w:rsidR="00C03F41" w:rsidRPr="006D21FF">
        <w:rPr>
          <w:rFonts w:ascii="宋体" w:hAnsi="宋体" w:cs="Times New Roman" w:hint="eastAsia"/>
          <w:color w:val="000000"/>
        </w:rPr>
        <w:t>平安银行</w:t>
      </w:r>
      <w:r w:rsidRPr="006D21FF">
        <w:rPr>
          <w:rFonts w:ascii="宋体" w:hAnsi="宋体" w:cs="Times New Roman" w:hint="eastAsia"/>
          <w:color w:val="000000"/>
        </w:rPr>
        <w:t>损失。</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（3）由于投资者原因导致，在法律允许的范围内</w:t>
      </w:r>
      <w:r w:rsidR="00C03F41" w:rsidRPr="006D21FF">
        <w:rPr>
          <w:rFonts w:ascii="宋体" w:hAnsi="宋体" w:cs="Times New Roman" w:hint="eastAsia"/>
          <w:color w:val="000000"/>
        </w:rPr>
        <w:t>平安银行</w:t>
      </w:r>
      <w:r w:rsidRPr="006D21FF">
        <w:rPr>
          <w:rFonts w:ascii="宋体" w:hAnsi="宋体" w:cs="Times New Roman" w:hint="eastAsia"/>
          <w:color w:val="000000"/>
        </w:rPr>
        <w:t>认定必须终止与该投资者对于本理财产品的理财关系的其他情形。</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2、理财产品合同违约</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1）理财产品存续期内，投资者不得以本理财资金设定其他任何第三方权益。如因司法或行政机构采取强制措施导致理财账户内资产的部分或全部被扣划，均被视为投资者违反本理财计划合约，并承担全部经济损失。</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（2）若投资者发生违约，给本期理财产品或本期理财产品下的其他投资者、银行或/及任何其他第三方造成损失，均由违约投资者承担经济赔偿责任；同时</w:t>
      </w:r>
      <w:r w:rsidR="00C03F41" w:rsidRPr="006D21FF">
        <w:rPr>
          <w:rFonts w:ascii="宋体" w:hAnsi="宋体" w:cs="Times New Roman" w:hint="eastAsia"/>
          <w:color w:val="000000"/>
        </w:rPr>
        <w:t>平安银行</w:t>
      </w:r>
      <w:r w:rsidRPr="006D21FF">
        <w:rPr>
          <w:rFonts w:ascii="宋体" w:hAnsi="宋体" w:cs="Times New Roman" w:hint="eastAsia"/>
          <w:color w:val="000000"/>
        </w:rPr>
        <w:t>有权代表本期理财计划向责任方依法追偿，追偿所得在扣除追偿费用后计入本期理财产品资产。</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3）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w:t>
      </w:r>
      <w:r w:rsidR="00B30AAE" w:rsidRPr="006D21FF">
        <w:rPr>
          <w:rFonts w:ascii="宋体" w:hAnsi="宋体" w:cs="Times New Roman" w:hint="eastAsia"/>
          <w:color w:val="000000"/>
        </w:rPr>
        <w:t>华南</w:t>
      </w:r>
      <w:r w:rsidRPr="006D21FF">
        <w:rPr>
          <w:rFonts w:ascii="宋体" w:hAnsi="宋体" w:cs="Times New Roman" w:hint="eastAsia"/>
          <w:color w:val="000000"/>
        </w:rPr>
        <w:t>国际经济贸易仲裁委员会仲裁解决。</w:t>
      </w:r>
    </w:p>
    <w:p w:rsidR="003E1110" w:rsidRPr="006D21FF" w:rsidRDefault="003E1110" w:rsidP="006D21FF">
      <w:pPr>
        <w:pStyle w:val="a5"/>
        <w:adjustRightInd/>
        <w:snapToGrid/>
        <w:ind w:leftChars="-143" w:left="-429" w:rightChars="-161" w:right="-483" w:firstLine="482"/>
        <w:contextualSpacing/>
        <w:mirrorIndents/>
        <w:rPr>
          <w:rFonts w:ascii="宋体" w:hAnsi="宋体"/>
          <w:b/>
          <w:sz w:val="24"/>
          <w:szCs w:val="24"/>
        </w:rPr>
      </w:pPr>
      <w:r w:rsidRPr="006D21FF">
        <w:rPr>
          <w:rFonts w:ascii="宋体" w:hAnsi="宋体" w:hint="eastAsia"/>
          <w:b/>
          <w:sz w:val="24"/>
          <w:szCs w:val="24"/>
        </w:rPr>
        <w:t>七、特别提示</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color w:val="000000"/>
        </w:rPr>
        <w:t>本理财产品说明书为《</w:t>
      </w:r>
      <w:r w:rsidR="00C03F41" w:rsidRPr="006D21FF">
        <w:rPr>
          <w:rFonts w:ascii="宋体" w:hAnsi="宋体" w:cs="Times New Roman" w:hint="eastAsia"/>
          <w:color w:val="000000"/>
        </w:rPr>
        <w:t>平安银行</w:t>
      </w:r>
      <w:r w:rsidR="001836E7" w:rsidRPr="006D21FF">
        <w:rPr>
          <w:rFonts w:ascii="宋体" w:hAnsi="宋体" w:cs="Times New Roman" w:hint="eastAsia"/>
          <w:color w:val="000000"/>
        </w:rPr>
        <w:t>理财产品</w:t>
      </w:r>
      <w:r w:rsidR="00E449C8">
        <w:rPr>
          <w:rFonts w:ascii="宋体" w:hAnsi="宋体" w:cs="Times New Roman" w:hint="eastAsia"/>
          <w:color w:val="000000"/>
        </w:rPr>
        <w:t>销售协议书</w:t>
      </w:r>
      <w:r w:rsidRPr="006D21FF">
        <w:rPr>
          <w:rFonts w:ascii="宋体" w:hAnsi="宋体" w:cs="Times New Roman"/>
          <w:color w:val="000000"/>
        </w:rPr>
        <w:t>》不可分割之组成部分</w:t>
      </w:r>
      <w:r w:rsidR="003F25A9" w:rsidRPr="006D21FF">
        <w:rPr>
          <w:rFonts w:ascii="宋体" w:hAnsi="宋体" w:cs="Times New Roman" w:hint="eastAsia"/>
          <w:color w:val="000000"/>
        </w:rPr>
        <w:t>，与</w:t>
      </w:r>
      <w:r w:rsidR="003F25A9" w:rsidRPr="006D21FF">
        <w:rPr>
          <w:rFonts w:ascii="宋体" w:hAnsi="宋体" w:cs="Times New Roman"/>
          <w:color w:val="000000"/>
        </w:rPr>
        <w:t>《</w:t>
      </w:r>
      <w:r w:rsidR="00C03F41" w:rsidRPr="006D21FF">
        <w:rPr>
          <w:rFonts w:ascii="宋体" w:hAnsi="宋体" w:cs="Times New Roman" w:hint="eastAsia"/>
          <w:color w:val="000000"/>
        </w:rPr>
        <w:t>平安银行</w:t>
      </w:r>
      <w:r w:rsidR="003F25A9" w:rsidRPr="006D21FF">
        <w:rPr>
          <w:rFonts w:ascii="宋体" w:hAnsi="宋体" w:cs="Times New Roman" w:hint="eastAsia"/>
          <w:color w:val="000000"/>
        </w:rPr>
        <w:t>理财产品</w:t>
      </w:r>
      <w:r w:rsidR="00E449C8">
        <w:rPr>
          <w:rFonts w:ascii="宋体" w:hAnsi="宋体" w:cs="Times New Roman" w:hint="eastAsia"/>
          <w:color w:val="000000"/>
        </w:rPr>
        <w:t>销售协议书</w:t>
      </w:r>
      <w:r w:rsidR="003F25A9" w:rsidRPr="006D21FF">
        <w:rPr>
          <w:rFonts w:ascii="宋体" w:hAnsi="宋体" w:cs="Times New Roman"/>
          <w:color w:val="000000"/>
        </w:rPr>
        <w:t>》</w:t>
      </w:r>
      <w:r w:rsidR="003F25A9" w:rsidRPr="006D21FF">
        <w:rPr>
          <w:rFonts w:ascii="宋体" w:hAnsi="宋体" w:cs="Times New Roman" w:hint="eastAsia"/>
          <w:color w:val="000000"/>
        </w:rPr>
        <w:t>不同之处，以本理财产品说明书为准</w:t>
      </w:r>
      <w:r w:rsidRPr="006D21FF">
        <w:rPr>
          <w:rFonts w:ascii="宋体" w:hAnsi="宋体" w:cs="Times New Roman"/>
          <w:color w:val="000000"/>
        </w:rPr>
        <w:t>。</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本理财计划仅向依据中华人民共和国有关法律法规及本说明书规定可以购买本理财计划的合格个人投资者发售。</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color w:val="000000"/>
        </w:rPr>
        <w:t>在购买本理财产品前，请投资者确保完全了解本理财计划的性质、其中涉及的风险以及投资者的自身情况。</w:t>
      </w:r>
      <w:r w:rsidRPr="006D21FF">
        <w:rPr>
          <w:rFonts w:ascii="宋体" w:hAnsi="宋体" w:cs="Times New Roman" w:hint="eastAsia"/>
          <w:color w:val="000000"/>
        </w:rPr>
        <w:t>若投资者对本理财产品说明书的内容有任何疑问，请向</w:t>
      </w:r>
      <w:r w:rsidR="00C03F41" w:rsidRPr="006D21FF">
        <w:rPr>
          <w:rFonts w:ascii="宋体" w:hAnsi="宋体" w:cs="Times New Roman" w:hint="eastAsia"/>
          <w:color w:val="000000"/>
        </w:rPr>
        <w:t>平安银行</w:t>
      </w:r>
      <w:r w:rsidRPr="006D21FF">
        <w:rPr>
          <w:rFonts w:ascii="宋体" w:hAnsi="宋体" w:cs="Times New Roman" w:hint="eastAsia"/>
          <w:color w:val="000000"/>
        </w:rPr>
        <w:t>各营业网点理财经理咨询。</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color w:val="000000"/>
        </w:rPr>
        <w:t>除本产品说明书中明确规定的收益及收益分配方式外，任何其他收益表述均属不具有法律约束力的用语，不代表投资者可能获得的实际收益，亦不构成</w:t>
      </w:r>
      <w:r w:rsidR="00C03F41" w:rsidRPr="006D21FF">
        <w:rPr>
          <w:rFonts w:ascii="宋体" w:hAnsi="宋体" w:cs="Times New Roman"/>
          <w:color w:val="000000"/>
        </w:rPr>
        <w:t>平安银行</w:t>
      </w:r>
      <w:r w:rsidRPr="006D21FF">
        <w:rPr>
          <w:rFonts w:ascii="宋体" w:hAnsi="宋体" w:cs="Times New Roman"/>
          <w:color w:val="000000"/>
        </w:rPr>
        <w:t>对本理财产品的额外收益承诺。</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color w:val="000000"/>
        </w:rPr>
        <w:t>本理财产品只根据本产品说明书所载的内容操作。</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color w:val="000000"/>
        </w:rPr>
        <w:t>本理财产品不等同于银行存款。</w:t>
      </w:r>
    </w:p>
    <w:p w:rsidR="001836E7"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本理财产品说明书</w:t>
      </w:r>
      <w:r w:rsidR="00D2748C" w:rsidRPr="006D21FF">
        <w:rPr>
          <w:rFonts w:ascii="宋体" w:hAnsi="宋体" w:cs="Times New Roman" w:hint="eastAsia"/>
          <w:color w:val="000000"/>
        </w:rPr>
        <w:t>由</w:t>
      </w:r>
      <w:r w:rsidR="00C03F41" w:rsidRPr="006D21FF">
        <w:rPr>
          <w:rFonts w:ascii="宋体" w:hAnsi="宋体" w:cs="Times New Roman" w:hint="eastAsia"/>
          <w:color w:val="000000"/>
        </w:rPr>
        <w:t>平安银行</w:t>
      </w:r>
      <w:r w:rsidR="00D2748C" w:rsidRPr="006D21FF">
        <w:rPr>
          <w:rFonts w:ascii="宋体" w:hAnsi="宋体" w:cs="Times New Roman" w:hint="eastAsia"/>
          <w:color w:val="000000"/>
        </w:rPr>
        <w:t>负责解释。</w:t>
      </w:r>
    </w:p>
    <w:p w:rsidR="003E1110" w:rsidRPr="00C97A3B" w:rsidRDefault="001836E7" w:rsidP="00064FD6">
      <w:pPr>
        <w:adjustRightInd w:val="0"/>
        <w:snapToGrid w:val="0"/>
        <w:ind w:firstLineChars="200" w:firstLine="420"/>
        <w:textAlignment w:val="center"/>
        <w:rPr>
          <w:rFonts w:ascii="宋体" w:eastAsia="宋体" w:hAnsi="宋体"/>
          <w:snapToGrid w:val="0"/>
        </w:rPr>
      </w:pPr>
      <w:r w:rsidRPr="00C97A3B">
        <w:rPr>
          <w:rFonts w:ascii="宋体" w:eastAsia="宋体" w:hAnsi="宋体" w:hint="eastAsia"/>
          <w:snapToGrid w:val="0"/>
          <w:color w:val="000000"/>
          <w:sz w:val="21"/>
          <w:szCs w:val="21"/>
        </w:rPr>
        <w:t>―――――――――――――――――――――――――――――――――――――</w:t>
      </w:r>
    </w:p>
    <w:p w:rsidR="003E1110" w:rsidRPr="00C97A3B" w:rsidRDefault="003E1110" w:rsidP="00064FD6">
      <w:pPr>
        <w:adjustRightInd w:val="0"/>
        <w:snapToGrid w:val="0"/>
        <w:textAlignment w:val="center"/>
        <w:rPr>
          <w:rFonts w:ascii="宋体" w:eastAsia="宋体" w:hAnsi="宋体"/>
          <w:snapToGrid w:val="0"/>
        </w:rPr>
        <w:sectPr w:rsidR="003E1110" w:rsidRPr="00C97A3B" w:rsidSect="003E1110">
          <w:footerReference w:type="even" r:id="rId7"/>
          <w:footerReference w:type="default" r:id="rId8"/>
          <w:pgSz w:w="11906" w:h="16838"/>
          <w:pgMar w:top="1440" w:right="1800" w:bottom="1440" w:left="1800" w:header="851" w:footer="992" w:gutter="0"/>
          <w:pgNumType w:start="1"/>
          <w:cols w:space="425"/>
          <w:docGrid w:type="lines" w:linePitch="312"/>
        </w:sectPr>
      </w:pPr>
    </w:p>
    <w:p w:rsidR="00BA10DE" w:rsidRPr="006D21FF" w:rsidRDefault="00BA10DE"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lastRenderedPageBreak/>
        <w:t>本产品投资人已阅读并领取</w:t>
      </w:r>
      <w:r w:rsidR="00EA3C9B" w:rsidRPr="006D21FF">
        <w:rPr>
          <w:rFonts w:ascii="宋体" w:hAnsi="宋体" w:cs="Times New Roman" w:hint="eastAsia"/>
          <w:b/>
          <w:color w:val="000000"/>
        </w:rPr>
        <w:t>《</w:t>
      </w:r>
      <w:r w:rsidR="00021D75">
        <w:rPr>
          <w:rFonts w:ascii="宋体" w:hAnsi="宋体" w:cs="Times New Roman" w:hint="eastAsia"/>
          <w:b/>
          <w:color w:val="000000"/>
        </w:rPr>
        <w:t>平安财富-</w:t>
      </w:r>
      <w:r w:rsidR="006C78C8">
        <w:rPr>
          <w:rFonts w:ascii="宋体" w:hAnsi="宋体" w:cs="Times New Roman" w:hint="eastAsia"/>
          <w:b/>
          <w:color w:val="000000"/>
        </w:rPr>
        <w:t>私行专享尊贵</w:t>
      </w:r>
      <w:r w:rsidR="00021D75">
        <w:rPr>
          <w:rFonts w:ascii="宋体" w:hAnsi="宋体" w:cs="Times New Roman" w:hint="eastAsia"/>
          <w:b/>
          <w:color w:val="000000"/>
        </w:rPr>
        <w:t>智慧资产管理类</w:t>
      </w:r>
      <w:r w:rsidR="00C97A3B" w:rsidRPr="00E449C8">
        <w:rPr>
          <w:rFonts w:ascii="宋体" w:hAnsi="宋体" w:cs="Times New Roman" w:hint="eastAsia"/>
          <w:b/>
          <w:color w:val="FF0000"/>
          <w:u w:val="single"/>
        </w:rPr>
        <w:t>2013年</w:t>
      </w:r>
      <w:r w:rsidR="006C78C8">
        <w:rPr>
          <w:rFonts w:ascii="宋体" w:hAnsi="宋体" w:cs="Times New Roman" w:hint="eastAsia"/>
          <w:b/>
          <w:color w:val="FF0000"/>
          <w:u w:val="single"/>
        </w:rPr>
        <w:t>3</w:t>
      </w:r>
      <w:r w:rsidR="00133B9E">
        <w:rPr>
          <w:rFonts w:ascii="宋体" w:hAnsi="宋体" w:cs="Times New Roman" w:hint="eastAsia"/>
          <w:b/>
          <w:color w:val="FF0000"/>
          <w:u w:val="single"/>
        </w:rPr>
        <w:t>4</w:t>
      </w:r>
      <w:r w:rsidR="006C78C8">
        <w:rPr>
          <w:rFonts w:ascii="宋体" w:hAnsi="宋体" w:cs="Times New Roman" w:hint="eastAsia"/>
          <w:b/>
          <w:color w:val="FF0000"/>
          <w:u w:val="single"/>
        </w:rPr>
        <w:t>期</w:t>
      </w:r>
      <w:r w:rsidRPr="006D21FF">
        <w:rPr>
          <w:rFonts w:ascii="宋体" w:hAnsi="宋体" w:cs="Times New Roman" w:hint="eastAsia"/>
          <w:b/>
          <w:color w:val="000000"/>
        </w:rPr>
        <w:t>人民币理财产品说明书</w:t>
      </w:r>
      <w:r w:rsidR="00EA3C9B" w:rsidRPr="006D21FF">
        <w:rPr>
          <w:rFonts w:ascii="宋体" w:hAnsi="宋体" w:cs="Times New Roman" w:hint="eastAsia"/>
          <w:b/>
          <w:color w:val="000000"/>
        </w:rPr>
        <w:t>》</w:t>
      </w:r>
      <w:r w:rsidRPr="006D21FF">
        <w:rPr>
          <w:rFonts w:ascii="宋体" w:hAnsi="宋体" w:cs="Times New Roman" w:hint="eastAsia"/>
          <w:b/>
          <w:color w:val="000000"/>
        </w:rPr>
        <w:t>，共</w:t>
      </w:r>
      <w:r w:rsidR="00064FD6" w:rsidRPr="006D21FF">
        <w:rPr>
          <w:rFonts w:ascii="宋体" w:hAnsi="宋体" w:cs="Times New Roman" w:hint="eastAsia"/>
          <w:b/>
          <w:color w:val="000000"/>
        </w:rPr>
        <w:t>4</w:t>
      </w:r>
      <w:r w:rsidRPr="006D21FF">
        <w:rPr>
          <w:rFonts w:ascii="宋体" w:hAnsi="宋体" w:cs="Times New Roman" w:hint="eastAsia"/>
          <w:b/>
          <w:color w:val="000000"/>
        </w:rPr>
        <w:t>页，充分了解本产品的收益和风险，自愿购买。</w:t>
      </w:r>
    </w:p>
    <w:p w:rsidR="006D21FF" w:rsidRDefault="006D21FF" w:rsidP="006D21FF">
      <w:pPr>
        <w:pStyle w:val="a5"/>
        <w:adjustRightInd/>
        <w:snapToGrid/>
        <w:ind w:leftChars="-143" w:left="-429" w:rightChars="-161" w:right="-483" w:firstLine="422"/>
        <w:contextualSpacing/>
        <w:mirrorIndents/>
        <w:rPr>
          <w:rFonts w:ascii="宋体" w:hAnsi="宋体" w:cs="Times New Roman"/>
          <w:b/>
          <w:color w:val="000000"/>
        </w:rPr>
      </w:pPr>
    </w:p>
    <w:p w:rsidR="006D21FF" w:rsidRDefault="006D21FF" w:rsidP="006D21FF">
      <w:pPr>
        <w:pStyle w:val="a5"/>
        <w:adjustRightInd/>
        <w:snapToGrid/>
        <w:ind w:leftChars="-143" w:left="-429" w:rightChars="-161" w:right="-483" w:firstLine="422"/>
        <w:contextualSpacing/>
        <w:mirrorIndents/>
        <w:rPr>
          <w:rFonts w:ascii="宋体" w:hAnsi="宋体" w:cs="Times New Roman"/>
          <w:b/>
          <w:color w:val="000000"/>
        </w:rPr>
      </w:pPr>
    </w:p>
    <w:p w:rsidR="00BA10DE" w:rsidRPr="006D21FF" w:rsidRDefault="00BA10DE" w:rsidP="006D21FF">
      <w:pPr>
        <w:pStyle w:val="a5"/>
        <w:adjustRightInd/>
        <w:snapToGrid/>
        <w:ind w:leftChars="-143" w:left="-429" w:rightChars="-161" w:right="-483" w:firstLine="422"/>
        <w:contextualSpacing/>
        <w:mirrorIndents/>
        <w:jc w:val="left"/>
        <w:rPr>
          <w:rFonts w:ascii="宋体" w:hAnsi="宋体" w:cs="Times New Roman"/>
          <w:b/>
          <w:color w:val="000000"/>
        </w:rPr>
      </w:pPr>
      <w:r w:rsidRPr="006D21FF">
        <w:rPr>
          <w:rFonts w:ascii="宋体" w:hAnsi="宋体" w:cs="Times New Roman" w:hint="eastAsia"/>
          <w:b/>
          <w:color w:val="000000"/>
        </w:rPr>
        <w:t>投资人签字：</w:t>
      </w:r>
      <w:r w:rsidRPr="006D21FF">
        <w:rPr>
          <w:rFonts w:ascii="宋体" w:hAnsi="宋体" w:cs="Times New Roman"/>
          <w:b/>
          <w:color w:val="000000"/>
        </w:rPr>
        <w:t xml:space="preserve">                        </w:t>
      </w:r>
      <w:r w:rsidR="006D21FF">
        <w:rPr>
          <w:rFonts w:ascii="宋体" w:hAnsi="宋体" w:cs="Times New Roman" w:hint="eastAsia"/>
          <w:b/>
          <w:color w:val="000000"/>
        </w:rPr>
        <w:t xml:space="preserve">             </w:t>
      </w:r>
      <w:r w:rsidRPr="006D21FF">
        <w:rPr>
          <w:rFonts w:ascii="宋体" w:hAnsi="宋体" w:cs="Times New Roman"/>
          <w:b/>
          <w:color w:val="000000"/>
        </w:rPr>
        <w:t xml:space="preserve"> </w:t>
      </w:r>
      <w:r w:rsidR="006D21FF">
        <w:rPr>
          <w:rFonts w:ascii="宋体" w:hAnsi="宋体" w:cs="Times New Roman" w:hint="eastAsia"/>
          <w:b/>
          <w:color w:val="000000"/>
        </w:rPr>
        <w:t xml:space="preserve">  </w:t>
      </w:r>
      <w:r w:rsidRPr="006D21FF">
        <w:rPr>
          <w:rFonts w:ascii="宋体" w:hAnsi="宋体" w:cs="Times New Roman" w:hint="eastAsia"/>
          <w:b/>
          <w:color w:val="000000"/>
        </w:rPr>
        <w:t>日</w:t>
      </w:r>
      <w:r w:rsidRPr="006D21FF">
        <w:rPr>
          <w:rFonts w:ascii="宋体" w:hAnsi="宋体" w:cs="Times New Roman"/>
          <w:b/>
          <w:color w:val="000000"/>
        </w:rPr>
        <w:t xml:space="preserve">    </w:t>
      </w:r>
      <w:r w:rsidRPr="006D21FF">
        <w:rPr>
          <w:rFonts w:ascii="宋体" w:hAnsi="宋体" w:cs="Times New Roman" w:hint="eastAsia"/>
          <w:b/>
          <w:color w:val="000000"/>
        </w:rPr>
        <w:t>期：</w:t>
      </w:r>
      <w:r w:rsidR="006D21FF">
        <w:rPr>
          <w:rFonts w:ascii="宋体" w:hAnsi="宋体" w:cs="Times New Roman" w:hint="eastAsia"/>
          <w:b/>
          <w:color w:val="000000"/>
        </w:rPr>
        <w:t xml:space="preserve">       年    月    日</w:t>
      </w:r>
    </w:p>
    <w:sectPr w:rsidR="00BA10DE" w:rsidRPr="006D21FF" w:rsidSect="003E1110">
      <w:footerReference w:type="even" r:id="rId9"/>
      <w:footerReference w:type="default" r:id="rId10"/>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0A0A" w:rsidRDefault="003E0A0A" w:rsidP="004B657F">
      <w:r>
        <w:separator/>
      </w:r>
    </w:p>
  </w:endnote>
  <w:endnote w:type="continuationSeparator" w:id="0">
    <w:p w:rsidR="003E0A0A" w:rsidRDefault="003E0A0A" w:rsidP="004B65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110" w:rsidRDefault="00092014" w:rsidP="00C127F6">
    <w:pPr>
      <w:pStyle w:val="a7"/>
      <w:framePr w:wrap="around" w:vAnchor="text" w:hAnchor="margin" w:xAlign="center" w:y="1"/>
      <w:rPr>
        <w:rStyle w:val="ac"/>
      </w:rPr>
    </w:pPr>
    <w:r>
      <w:rPr>
        <w:rStyle w:val="ac"/>
      </w:rPr>
      <w:fldChar w:fldCharType="begin"/>
    </w:r>
    <w:r w:rsidR="003E1110">
      <w:rPr>
        <w:rStyle w:val="ac"/>
      </w:rPr>
      <w:instrText xml:space="preserve">PAGE  </w:instrText>
    </w:r>
    <w:r>
      <w:rPr>
        <w:rStyle w:val="ac"/>
      </w:rPr>
      <w:fldChar w:fldCharType="separate"/>
    </w:r>
    <w:r w:rsidR="003E1110">
      <w:rPr>
        <w:rStyle w:val="ac"/>
        <w:noProof/>
      </w:rPr>
      <w:t>1</w:t>
    </w:r>
    <w:r>
      <w:rPr>
        <w:rStyle w:val="ac"/>
      </w:rPr>
      <w:fldChar w:fldCharType="end"/>
    </w:r>
  </w:p>
  <w:p w:rsidR="003E1110" w:rsidRDefault="003E1110">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110" w:rsidRDefault="00092014" w:rsidP="00C127F6">
    <w:pPr>
      <w:pStyle w:val="a7"/>
      <w:framePr w:wrap="around" w:vAnchor="text" w:hAnchor="margin" w:xAlign="center" w:y="1"/>
      <w:rPr>
        <w:rStyle w:val="ac"/>
      </w:rPr>
    </w:pPr>
    <w:r>
      <w:rPr>
        <w:rStyle w:val="ac"/>
      </w:rPr>
      <w:fldChar w:fldCharType="begin"/>
    </w:r>
    <w:r w:rsidR="003E1110">
      <w:rPr>
        <w:rStyle w:val="ac"/>
      </w:rPr>
      <w:instrText xml:space="preserve">PAGE  </w:instrText>
    </w:r>
    <w:r>
      <w:rPr>
        <w:rStyle w:val="ac"/>
      </w:rPr>
      <w:fldChar w:fldCharType="separate"/>
    </w:r>
    <w:r w:rsidR="00133B9E">
      <w:rPr>
        <w:rStyle w:val="ac"/>
        <w:noProof/>
      </w:rPr>
      <w:t>4</w:t>
    </w:r>
    <w:r>
      <w:rPr>
        <w:rStyle w:val="ac"/>
      </w:rPr>
      <w:fldChar w:fldCharType="end"/>
    </w:r>
  </w:p>
  <w:p w:rsidR="003E1110" w:rsidRDefault="003E1110">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2E1" w:rsidRDefault="00092014" w:rsidP="00C127F6">
    <w:pPr>
      <w:pStyle w:val="a7"/>
      <w:framePr w:wrap="around" w:vAnchor="text" w:hAnchor="margin" w:xAlign="center" w:y="1"/>
      <w:rPr>
        <w:rStyle w:val="ac"/>
      </w:rPr>
    </w:pPr>
    <w:r>
      <w:rPr>
        <w:rStyle w:val="ac"/>
      </w:rPr>
      <w:fldChar w:fldCharType="begin"/>
    </w:r>
    <w:r w:rsidR="00CA22E1">
      <w:rPr>
        <w:rStyle w:val="ac"/>
      </w:rPr>
      <w:instrText xml:space="preserve">PAGE  </w:instrText>
    </w:r>
    <w:r>
      <w:rPr>
        <w:rStyle w:val="ac"/>
      </w:rPr>
      <w:fldChar w:fldCharType="separate"/>
    </w:r>
    <w:r w:rsidR="00A15B6E">
      <w:rPr>
        <w:rStyle w:val="ac"/>
        <w:noProof/>
      </w:rPr>
      <w:t>1</w:t>
    </w:r>
    <w:r>
      <w:rPr>
        <w:rStyle w:val="ac"/>
      </w:rPr>
      <w:fldChar w:fldCharType="end"/>
    </w:r>
  </w:p>
  <w:p w:rsidR="00CA22E1" w:rsidRDefault="00CA22E1">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2E1" w:rsidRDefault="00092014" w:rsidP="00C127F6">
    <w:pPr>
      <w:pStyle w:val="a7"/>
      <w:framePr w:wrap="around" w:vAnchor="text" w:hAnchor="margin" w:xAlign="center" w:y="1"/>
      <w:rPr>
        <w:rStyle w:val="ac"/>
      </w:rPr>
    </w:pPr>
    <w:r>
      <w:rPr>
        <w:rStyle w:val="ac"/>
      </w:rPr>
      <w:fldChar w:fldCharType="begin"/>
    </w:r>
    <w:r w:rsidR="00CA22E1">
      <w:rPr>
        <w:rStyle w:val="ac"/>
      </w:rPr>
      <w:instrText xml:space="preserve">PAGE  </w:instrText>
    </w:r>
    <w:r>
      <w:rPr>
        <w:rStyle w:val="ac"/>
      </w:rPr>
      <w:fldChar w:fldCharType="separate"/>
    </w:r>
    <w:r w:rsidR="006C78C8">
      <w:rPr>
        <w:rStyle w:val="ac"/>
        <w:noProof/>
      </w:rPr>
      <w:t>5</w:t>
    </w:r>
    <w:r>
      <w:rPr>
        <w:rStyle w:val="ac"/>
      </w:rPr>
      <w:fldChar w:fldCharType="end"/>
    </w:r>
  </w:p>
  <w:p w:rsidR="00CA22E1" w:rsidRDefault="00CA22E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0A0A" w:rsidRDefault="003E0A0A" w:rsidP="004B657F">
      <w:r>
        <w:separator/>
      </w:r>
    </w:p>
  </w:footnote>
  <w:footnote w:type="continuationSeparator" w:id="0">
    <w:p w:rsidR="003E0A0A" w:rsidRDefault="003E0A0A" w:rsidP="004B65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C6F41"/>
    <w:multiLevelType w:val="hybridMultilevel"/>
    <w:tmpl w:val="EDD0E922"/>
    <w:lvl w:ilvl="0" w:tplc="3C202A24">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
    <w:nsid w:val="1E2A6B8F"/>
    <w:multiLevelType w:val="hybridMultilevel"/>
    <w:tmpl w:val="3B9C3AA0"/>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3D00EBE"/>
    <w:multiLevelType w:val="hybridMultilevel"/>
    <w:tmpl w:val="9F32BF0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437D5023"/>
    <w:multiLevelType w:val="hybridMultilevel"/>
    <w:tmpl w:val="23BA119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57076405"/>
    <w:multiLevelType w:val="hybridMultilevel"/>
    <w:tmpl w:val="83B09012"/>
    <w:lvl w:ilvl="0" w:tplc="AD18F966">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582265F4"/>
    <w:multiLevelType w:val="hybridMultilevel"/>
    <w:tmpl w:val="3BCA0624"/>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5AAE0DFC"/>
    <w:multiLevelType w:val="hybridMultilevel"/>
    <w:tmpl w:val="716233D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65EF566C"/>
    <w:multiLevelType w:val="hybridMultilevel"/>
    <w:tmpl w:val="523C4C5A"/>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67F03464"/>
    <w:multiLevelType w:val="hybridMultilevel"/>
    <w:tmpl w:val="1BC0E3F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86B2785"/>
    <w:multiLevelType w:val="hybridMultilevel"/>
    <w:tmpl w:val="A5ECE35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0">
    <w:nsid w:val="71D54C51"/>
    <w:multiLevelType w:val="hybridMultilevel"/>
    <w:tmpl w:val="20E08028"/>
    <w:lvl w:ilvl="0" w:tplc="0409000F">
      <w:start w:val="1"/>
      <w:numFmt w:val="decimal"/>
      <w:lvlText w:val="%1."/>
      <w:lvlJc w:val="left"/>
      <w:pPr>
        <w:tabs>
          <w:tab w:val="num" w:pos="980"/>
        </w:tabs>
        <w:ind w:left="980" w:hanging="420"/>
      </w:p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1">
    <w:nsid w:val="74F64B83"/>
    <w:multiLevelType w:val="hybridMultilevel"/>
    <w:tmpl w:val="5EAA1B1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75BB56A2"/>
    <w:multiLevelType w:val="hybridMultilevel"/>
    <w:tmpl w:val="B688007E"/>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7B391EF7"/>
    <w:multiLevelType w:val="hybridMultilevel"/>
    <w:tmpl w:val="61322F3E"/>
    <w:lvl w:ilvl="0" w:tplc="B7585560">
      <w:start w:val="2"/>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4"/>
  </w:num>
  <w:num w:numId="2">
    <w:abstractNumId w:val="8"/>
  </w:num>
  <w:num w:numId="3">
    <w:abstractNumId w:val="10"/>
  </w:num>
  <w:num w:numId="4">
    <w:abstractNumId w:val="9"/>
  </w:num>
  <w:num w:numId="5">
    <w:abstractNumId w:val="7"/>
  </w:num>
  <w:num w:numId="6">
    <w:abstractNumId w:val="3"/>
  </w:num>
  <w:num w:numId="7">
    <w:abstractNumId w:val="13"/>
  </w:num>
  <w:num w:numId="8">
    <w:abstractNumId w:val="12"/>
  </w:num>
  <w:num w:numId="9">
    <w:abstractNumId w:val="1"/>
  </w:num>
  <w:num w:numId="10">
    <w:abstractNumId w:val="6"/>
  </w:num>
  <w:num w:numId="11">
    <w:abstractNumId w:val="2"/>
  </w:num>
  <w:num w:numId="12">
    <w:abstractNumId w:val="5"/>
  </w:num>
  <w:num w:numId="13">
    <w:abstractNumId w:val="11"/>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stylePaneFormatFilter w:val="3F01"/>
  <w:defaultTabStop w:val="420"/>
  <w:drawingGridVerticalSpacing w:val="156"/>
  <w:displayHorizontalDrawingGridEvery w:val="0"/>
  <w:displayVerticalDrawingGridEvery w:val="2"/>
  <w:characterSpacingControl w:val="compressPunctuation"/>
  <w:hdrShapeDefaults>
    <o:shapedefaults v:ext="edit" spidmax="141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615B5"/>
    <w:rsid w:val="000042C5"/>
    <w:rsid w:val="000049CD"/>
    <w:rsid w:val="000071C8"/>
    <w:rsid w:val="0000759E"/>
    <w:rsid w:val="000143FA"/>
    <w:rsid w:val="00017071"/>
    <w:rsid w:val="000178E3"/>
    <w:rsid w:val="000179B9"/>
    <w:rsid w:val="00021D75"/>
    <w:rsid w:val="0002668C"/>
    <w:rsid w:val="000315B1"/>
    <w:rsid w:val="0004278E"/>
    <w:rsid w:val="00044076"/>
    <w:rsid w:val="00044439"/>
    <w:rsid w:val="00046944"/>
    <w:rsid w:val="0005141F"/>
    <w:rsid w:val="000526B5"/>
    <w:rsid w:val="0005602B"/>
    <w:rsid w:val="0005710F"/>
    <w:rsid w:val="000609C4"/>
    <w:rsid w:val="00060A12"/>
    <w:rsid w:val="0006214F"/>
    <w:rsid w:val="00062171"/>
    <w:rsid w:val="000638DC"/>
    <w:rsid w:val="00064FD6"/>
    <w:rsid w:val="000736CE"/>
    <w:rsid w:val="0007421B"/>
    <w:rsid w:val="000751B5"/>
    <w:rsid w:val="000812D0"/>
    <w:rsid w:val="00082515"/>
    <w:rsid w:val="00086724"/>
    <w:rsid w:val="00092014"/>
    <w:rsid w:val="00094F08"/>
    <w:rsid w:val="00094FA4"/>
    <w:rsid w:val="000952DA"/>
    <w:rsid w:val="00095BC3"/>
    <w:rsid w:val="00096434"/>
    <w:rsid w:val="000A4C90"/>
    <w:rsid w:val="000A7E41"/>
    <w:rsid w:val="000B64BC"/>
    <w:rsid w:val="000C27A1"/>
    <w:rsid w:val="000C70D2"/>
    <w:rsid w:val="000C7E5C"/>
    <w:rsid w:val="000D0DDE"/>
    <w:rsid w:val="000D1B61"/>
    <w:rsid w:val="000E04C2"/>
    <w:rsid w:val="000E4BC1"/>
    <w:rsid w:val="000E60F4"/>
    <w:rsid w:val="000F5E78"/>
    <w:rsid w:val="001015DA"/>
    <w:rsid w:val="00101802"/>
    <w:rsid w:val="001056E3"/>
    <w:rsid w:val="00105FEA"/>
    <w:rsid w:val="00106C6B"/>
    <w:rsid w:val="001111E6"/>
    <w:rsid w:val="00114215"/>
    <w:rsid w:val="00114756"/>
    <w:rsid w:val="001152D4"/>
    <w:rsid w:val="00115692"/>
    <w:rsid w:val="001166B8"/>
    <w:rsid w:val="001172C6"/>
    <w:rsid w:val="0012536A"/>
    <w:rsid w:val="001266FE"/>
    <w:rsid w:val="00131544"/>
    <w:rsid w:val="0013215F"/>
    <w:rsid w:val="00133B9E"/>
    <w:rsid w:val="00140605"/>
    <w:rsid w:val="00151187"/>
    <w:rsid w:val="00155871"/>
    <w:rsid w:val="0016078F"/>
    <w:rsid w:val="001615B5"/>
    <w:rsid w:val="001636B0"/>
    <w:rsid w:val="00174805"/>
    <w:rsid w:val="001758D2"/>
    <w:rsid w:val="001767DE"/>
    <w:rsid w:val="001821C5"/>
    <w:rsid w:val="00182CAC"/>
    <w:rsid w:val="001836E7"/>
    <w:rsid w:val="001840F4"/>
    <w:rsid w:val="001843CE"/>
    <w:rsid w:val="00185342"/>
    <w:rsid w:val="00193B65"/>
    <w:rsid w:val="001959FA"/>
    <w:rsid w:val="001A0B81"/>
    <w:rsid w:val="001B210F"/>
    <w:rsid w:val="001B264F"/>
    <w:rsid w:val="001B2799"/>
    <w:rsid w:val="001B62C6"/>
    <w:rsid w:val="001C1189"/>
    <w:rsid w:val="001C5650"/>
    <w:rsid w:val="001C7FB4"/>
    <w:rsid w:val="001D2E4B"/>
    <w:rsid w:val="001D3F61"/>
    <w:rsid w:val="001D552E"/>
    <w:rsid w:val="001D5548"/>
    <w:rsid w:val="001D63CC"/>
    <w:rsid w:val="001D727A"/>
    <w:rsid w:val="001D72E9"/>
    <w:rsid w:val="001E13C6"/>
    <w:rsid w:val="001E33E7"/>
    <w:rsid w:val="001E6D54"/>
    <w:rsid w:val="001E774E"/>
    <w:rsid w:val="001F0222"/>
    <w:rsid w:val="001F1448"/>
    <w:rsid w:val="001F2C01"/>
    <w:rsid w:val="001F4A33"/>
    <w:rsid w:val="00206038"/>
    <w:rsid w:val="00211B89"/>
    <w:rsid w:val="00213212"/>
    <w:rsid w:val="00220A63"/>
    <w:rsid w:val="00223510"/>
    <w:rsid w:val="0022519C"/>
    <w:rsid w:val="00225BE0"/>
    <w:rsid w:val="002279A3"/>
    <w:rsid w:val="00230AEE"/>
    <w:rsid w:val="002311AE"/>
    <w:rsid w:val="00232BF4"/>
    <w:rsid w:val="0023609C"/>
    <w:rsid w:val="002418E6"/>
    <w:rsid w:val="00241AA7"/>
    <w:rsid w:val="00244EDD"/>
    <w:rsid w:val="002450E5"/>
    <w:rsid w:val="002451DC"/>
    <w:rsid w:val="0025086E"/>
    <w:rsid w:val="00252826"/>
    <w:rsid w:val="00255751"/>
    <w:rsid w:val="00257EED"/>
    <w:rsid w:val="002601D7"/>
    <w:rsid w:val="00261370"/>
    <w:rsid w:val="00262A8C"/>
    <w:rsid w:val="00264FF3"/>
    <w:rsid w:val="00270327"/>
    <w:rsid w:val="00270850"/>
    <w:rsid w:val="00272378"/>
    <w:rsid w:val="00272465"/>
    <w:rsid w:val="00275EDE"/>
    <w:rsid w:val="00281018"/>
    <w:rsid w:val="002876AB"/>
    <w:rsid w:val="00293D91"/>
    <w:rsid w:val="00296388"/>
    <w:rsid w:val="002A06A2"/>
    <w:rsid w:val="002B03B9"/>
    <w:rsid w:val="002B0766"/>
    <w:rsid w:val="002B73CE"/>
    <w:rsid w:val="002C341B"/>
    <w:rsid w:val="002C5A5F"/>
    <w:rsid w:val="002D1637"/>
    <w:rsid w:val="002D240F"/>
    <w:rsid w:val="002D2B22"/>
    <w:rsid w:val="002D3817"/>
    <w:rsid w:val="002D57B5"/>
    <w:rsid w:val="002D5F15"/>
    <w:rsid w:val="002E26AA"/>
    <w:rsid w:val="002E6F42"/>
    <w:rsid w:val="002E76F8"/>
    <w:rsid w:val="002F0771"/>
    <w:rsid w:val="002F2008"/>
    <w:rsid w:val="002F4043"/>
    <w:rsid w:val="002F526B"/>
    <w:rsid w:val="002F7C7E"/>
    <w:rsid w:val="00302707"/>
    <w:rsid w:val="00302CE8"/>
    <w:rsid w:val="00302E10"/>
    <w:rsid w:val="00303765"/>
    <w:rsid w:val="00304EE2"/>
    <w:rsid w:val="00307A9A"/>
    <w:rsid w:val="00307AC0"/>
    <w:rsid w:val="00312F3C"/>
    <w:rsid w:val="00313062"/>
    <w:rsid w:val="00316476"/>
    <w:rsid w:val="00316A52"/>
    <w:rsid w:val="00323B9A"/>
    <w:rsid w:val="00325586"/>
    <w:rsid w:val="00327D5B"/>
    <w:rsid w:val="00334785"/>
    <w:rsid w:val="00341401"/>
    <w:rsid w:val="0034396A"/>
    <w:rsid w:val="003468A7"/>
    <w:rsid w:val="0034754E"/>
    <w:rsid w:val="00353CB5"/>
    <w:rsid w:val="00356918"/>
    <w:rsid w:val="00356BBE"/>
    <w:rsid w:val="003573F6"/>
    <w:rsid w:val="00357DAF"/>
    <w:rsid w:val="00360C8E"/>
    <w:rsid w:val="00367D6D"/>
    <w:rsid w:val="003705F3"/>
    <w:rsid w:val="00375032"/>
    <w:rsid w:val="00380638"/>
    <w:rsid w:val="00381776"/>
    <w:rsid w:val="0038286E"/>
    <w:rsid w:val="00384992"/>
    <w:rsid w:val="003869DA"/>
    <w:rsid w:val="003912AC"/>
    <w:rsid w:val="00392E31"/>
    <w:rsid w:val="0039422C"/>
    <w:rsid w:val="00397781"/>
    <w:rsid w:val="003A13C7"/>
    <w:rsid w:val="003A4479"/>
    <w:rsid w:val="003A59D1"/>
    <w:rsid w:val="003B295E"/>
    <w:rsid w:val="003B2BFE"/>
    <w:rsid w:val="003B4376"/>
    <w:rsid w:val="003B5703"/>
    <w:rsid w:val="003B58DF"/>
    <w:rsid w:val="003B5EC7"/>
    <w:rsid w:val="003B7484"/>
    <w:rsid w:val="003B7D83"/>
    <w:rsid w:val="003C0BB4"/>
    <w:rsid w:val="003C5514"/>
    <w:rsid w:val="003C5D83"/>
    <w:rsid w:val="003C6DEC"/>
    <w:rsid w:val="003D0DE1"/>
    <w:rsid w:val="003D2967"/>
    <w:rsid w:val="003D381C"/>
    <w:rsid w:val="003D6E56"/>
    <w:rsid w:val="003E0A0A"/>
    <w:rsid w:val="003E1110"/>
    <w:rsid w:val="003E1D2D"/>
    <w:rsid w:val="003E7D4C"/>
    <w:rsid w:val="003F25A9"/>
    <w:rsid w:val="003F34D1"/>
    <w:rsid w:val="003F412E"/>
    <w:rsid w:val="003F61D2"/>
    <w:rsid w:val="003F707A"/>
    <w:rsid w:val="003F7466"/>
    <w:rsid w:val="003F7E28"/>
    <w:rsid w:val="004033A4"/>
    <w:rsid w:val="00403813"/>
    <w:rsid w:val="0040406F"/>
    <w:rsid w:val="00410E4B"/>
    <w:rsid w:val="00413139"/>
    <w:rsid w:val="00415EE5"/>
    <w:rsid w:val="00416DA8"/>
    <w:rsid w:val="004212F9"/>
    <w:rsid w:val="0042708A"/>
    <w:rsid w:val="0042736B"/>
    <w:rsid w:val="004322A4"/>
    <w:rsid w:val="004335A7"/>
    <w:rsid w:val="00436762"/>
    <w:rsid w:val="00442F0A"/>
    <w:rsid w:val="00444676"/>
    <w:rsid w:val="0044557C"/>
    <w:rsid w:val="00446E0E"/>
    <w:rsid w:val="004516FD"/>
    <w:rsid w:val="00451D3B"/>
    <w:rsid w:val="00455379"/>
    <w:rsid w:val="00460674"/>
    <w:rsid w:val="0046250E"/>
    <w:rsid w:val="0046339A"/>
    <w:rsid w:val="004640BC"/>
    <w:rsid w:val="004723E3"/>
    <w:rsid w:val="004760D8"/>
    <w:rsid w:val="00477550"/>
    <w:rsid w:val="00481223"/>
    <w:rsid w:val="00481F61"/>
    <w:rsid w:val="00485839"/>
    <w:rsid w:val="004869D0"/>
    <w:rsid w:val="00486C7E"/>
    <w:rsid w:val="00493AE2"/>
    <w:rsid w:val="00494C7C"/>
    <w:rsid w:val="00496913"/>
    <w:rsid w:val="00496A2C"/>
    <w:rsid w:val="004971BC"/>
    <w:rsid w:val="0049786E"/>
    <w:rsid w:val="004A0408"/>
    <w:rsid w:val="004A66F3"/>
    <w:rsid w:val="004A7753"/>
    <w:rsid w:val="004B3FCB"/>
    <w:rsid w:val="004B5191"/>
    <w:rsid w:val="004B5A42"/>
    <w:rsid w:val="004B657F"/>
    <w:rsid w:val="004B6915"/>
    <w:rsid w:val="004C3041"/>
    <w:rsid w:val="004C61A0"/>
    <w:rsid w:val="004D28D6"/>
    <w:rsid w:val="004D5A4D"/>
    <w:rsid w:val="004D5F0B"/>
    <w:rsid w:val="004D7E63"/>
    <w:rsid w:val="004E259B"/>
    <w:rsid w:val="004E2944"/>
    <w:rsid w:val="004E2C4D"/>
    <w:rsid w:val="004E3D57"/>
    <w:rsid w:val="004E5241"/>
    <w:rsid w:val="004F10F7"/>
    <w:rsid w:val="004F1642"/>
    <w:rsid w:val="004F3FA8"/>
    <w:rsid w:val="004F4938"/>
    <w:rsid w:val="004F4C49"/>
    <w:rsid w:val="004F6ADD"/>
    <w:rsid w:val="004F7735"/>
    <w:rsid w:val="00505D05"/>
    <w:rsid w:val="00511D4B"/>
    <w:rsid w:val="005167EC"/>
    <w:rsid w:val="00520257"/>
    <w:rsid w:val="005223BD"/>
    <w:rsid w:val="005245C0"/>
    <w:rsid w:val="00524B91"/>
    <w:rsid w:val="0052568C"/>
    <w:rsid w:val="00527A29"/>
    <w:rsid w:val="00530E0D"/>
    <w:rsid w:val="00531276"/>
    <w:rsid w:val="00537873"/>
    <w:rsid w:val="00540BA3"/>
    <w:rsid w:val="00544CE1"/>
    <w:rsid w:val="005461AD"/>
    <w:rsid w:val="00546563"/>
    <w:rsid w:val="00547248"/>
    <w:rsid w:val="00551AD1"/>
    <w:rsid w:val="00551DE2"/>
    <w:rsid w:val="005561D2"/>
    <w:rsid w:val="00556874"/>
    <w:rsid w:val="00557CA6"/>
    <w:rsid w:val="00563048"/>
    <w:rsid w:val="00563F8B"/>
    <w:rsid w:val="005640C7"/>
    <w:rsid w:val="00566FA4"/>
    <w:rsid w:val="00571F14"/>
    <w:rsid w:val="0057332B"/>
    <w:rsid w:val="005763CF"/>
    <w:rsid w:val="005950AD"/>
    <w:rsid w:val="00597CE3"/>
    <w:rsid w:val="005A213C"/>
    <w:rsid w:val="005A52EB"/>
    <w:rsid w:val="005A54DF"/>
    <w:rsid w:val="005A6989"/>
    <w:rsid w:val="005B44B4"/>
    <w:rsid w:val="005B5647"/>
    <w:rsid w:val="005B6B2A"/>
    <w:rsid w:val="005B7CCF"/>
    <w:rsid w:val="005C1A5C"/>
    <w:rsid w:val="005C718F"/>
    <w:rsid w:val="005D04CB"/>
    <w:rsid w:val="005D5DD2"/>
    <w:rsid w:val="005D7CCF"/>
    <w:rsid w:val="005E34CB"/>
    <w:rsid w:val="005E5BB3"/>
    <w:rsid w:val="005E7039"/>
    <w:rsid w:val="00600213"/>
    <w:rsid w:val="006006A8"/>
    <w:rsid w:val="00610493"/>
    <w:rsid w:val="00614058"/>
    <w:rsid w:val="006222D8"/>
    <w:rsid w:val="00626A8D"/>
    <w:rsid w:val="00627B00"/>
    <w:rsid w:val="00630C03"/>
    <w:rsid w:val="006318D3"/>
    <w:rsid w:val="00634503"/>
    <w:rsid w:val="00636B11"/>
    <w:rsid w:val="00641317"/>
    <w:rsid w:val="00642306"/>
    <w:rsid w:val="006438B8"/>
    <w:rsid w:val="006475FA"/>
    <w:rsid w:val="0064784A"/>
    <w:rsid w:val="006510A2"/>
    <w:rsid w:val="006532D2"/>
    <w:rsid w:val="00656A82"/>
    <w:rsid w:val="0066127F"/>
    <w:rsid w:val="006619E3"/>
    <w:rsid w:val="00664013"/>
    <w:rsid w:val="00670B21"/>
    <w:rsid w:val="00670FEC"/>
    <w:rsid w:val="00671BC0"/>
    <w:rsid w:val="00673856"/>
    <w:rsid w:val="006740D9"/>
    <w:rsid w:val="00676BC0"/>
    <w:rsid w:val="00683660"/>
    <w:rsid w:val="006842F7"/>
    <w:rsid w:val="00690D68"/>
    <w:rsid w:val="006946DC"/>
    <w:rsid w:val="006A0498"/>
    <w:rsid w:val="006A4E22"/>
    <w:rsid w:val="006A5AA9"/>
    <w:rsid w:val="006A5D4F"/>
    <w:rsid w:val="006B1446"/>
    <w:rsid w:val="006B1D56"/>
    <w:rsid w:val="006B3D39"/>
    <w:rsid w:val="006B627F"/>
    <w:rsid w:val="006B7052"/>
    <w:rsid w:val="006C0E57"/>
    <w:rsid w:val="006C3F3F"/>
    <w:rsid w:val="006C7256"/>
    <w:rsid w:val="006C78C8"/>
    <w:rsid w:val="006C7B50"/>
    <w:rsid w:val="006C7B5A"/>
    <w:rsid w:val="006D21FF"/>
    <w:rsid w:val="006D2348"/>
    <w:rsid w:val="006E1BCE"/>
    <w:rsid w:val="006E2A87"/>
    <w:rsid w:val="006E37BF"/>
    <w:rsid w:val="006E552F"/>
    <w:rsid w:val="006E554A"/>
    <w:rsid w:val="006E6EFD"/>
    <w:rsid w:val="006F0898"/>
    <w:rsid w:val="006F1F77"/>
    <w:rsid w:val="006F35DA"/>
    <w:rsid w:val="006F547C"/>
    <w:rsid w:val="006F5F1C"/>
    <w:rsid w:val="007037CB"/>
    <w:rsid w:val="007060D4"/>
    <w:rsid w:val="00706C1A"/>
    <w:rsid w:val="00710EE1"/>
    <w:rsid w:val="00715752"/>
    <w:rsid w:val="00721311"/>
    <w:rsid w:val="00721814"/>
    <w:rsid w:val="007223FA"/>
    <w:rsid w:val="007235B5"/>
    <w:rsid w:val="00730F49"/>
    <w:rsid w:val="00732481"/>
    <w:rsid w:val="0074726A"/>
    <w:rsid w:val="00750D54"/>
    <w:rsid w:val="00754118"/>
    <w:rsid w:val="00756948"/>
    <w:rsid w:val="007653E0"/>
    <w:rsid w:val="007666CF"/>
    <w:rsid w:val="00766DB3"/>
    <w:rsid w:val="007712A0"/>
    <w:rsid w:val="00773669"/>
    <w:rsid w:val="007817AD"/>
    <w:rsid w:val="00786798"/>
    <w:rsid w:val="00786B51"/>
    <w:rsid w:val="007873C1"/>
    <w:rsid w:val="0079505A"/>
    <w:rsid w:val="00796CB0"/>
    <w:rsid w:val="007A30ED"/>
    <w:rsid w:val="007A6E3E"/>
    <w:rsid w:val="007A7D16"/>
    <w:rsid w:val="007B4DBB"/>
    <w:rsid w:val="007C4A19"/>
    <w:rsid w:val="007C5452"/>
    <w:rsid w:val="007C6D41"/>
    <w:rsid w:val="007D058E"/>
    <w:rsid w:val="007D1ACB"/>
    <w:rsid w:val="007D1BBC"/>
    <w:rsid w:val="007D2941"/>
    <w:rsid w:val="007D511E"/>
    <w:rsid w:val="007D570A"/>
    <w:rsid w:val="007D6C32"/>
    <w:rsid w:val="007D7DB8"/>
    <w:rsid w:val="007E07C0"/>
    <w:rsid w:val="007E23AE"/>
    <w:rsid w:val="007E29F0"/>
    <w:rsid w:val="007E2E87"/>
    <w:rsid w:val="007E54DA"/>
    <w:rsid w:val="007E5897"/>
    <w:rsid w:val="007E62E0"/>
    <w:rsid w:val="007E6E90"/>
    <w:rsid w:val="007F1BE2"/>
    <w:rsid w:val="007F5182"/>
    <w:rsid w:val="00802260"/>
    <w:rsid w:val="00802596"/>
    <w:rsid w:val="00804EB1"/>
    <w:rsid w:val="008129C2"/>
    <w:rsid w:val="00814F47"/>
    <w:rsid w:val="00822A19"/>
    <w:rsid w:val="008247CF"/>
    <w:rsid w:val="00825618"/>
    <w:rsid w:val="00826B31"/>
    <w:rsid w:val="00826B9A"/>
    <w:rsid w:val="0083675E"/>
    <w:rsid w:val="00844EB5"/>
    <w:rsid w:val="008450A4"/>
    <w:rsid w:val="00853764"/>
    <w:rsid w:val="00855F31"/>
    <w:rsid w:val="008652C0"/>
    <w:rsid w:val="00866CC9"/>
    <w:rsid w:val="00870530"/>
    <w:rsid w:val="00873136"/>
    <w:rsid w:val="00873936"/>
    <w:rsid w:val="0088005D"/>
    <w:rsid w:val="0088021E"/>
    <w:rsid w:val="00880973"/>
    <w:rsid w:val="00881692"/>
    <w:rsid w:val="00885C6B"/>
    <w:rsid w:val="008911CC"/>
    <w:rsid w:val="008A019E"/>
    <w:rsid w:val="008A7018"/>
    <w:rsid w:val="008A781A"/>
    <w:rsid w:val="008B4661"/>
    <w:rsid w:val="008C2327"/>
    <w:rsid w:val="008C3298"/>
    <w:rsid w:val="008C4F7A"/>
    <w:rsid w:val="008C59DE"/>
    <w:rsid w:val="008C64DB"/>
    <w:rsid w:val="008C6BBF"/>
    <w:rsid w:val="008D0EC7"/>
    <w:rsid w:val="008D1351"/>
    <w:rsid w:val="008D1782"/>
    <w:rsid w:val="008D4A09"/>
    <w:rsid w:val="008D57FD"/>
    <w:rsid w:val="008D6E11"/>
    <w:rsid w:val="008D7DE4"/>
    <w:rsid w:val="008E0331"/>
    <w:rsid w:val="008E0C99"/>
    <w:rsid w:val="008E27B6"/>
    <w:rsid w:val="008E28A6"/>
    <w:rsid w:val="008E3233"/>
    <w:rsid w:val="008E442A"/>
    <w:rsid w:val="008E44D2"/>
    <w:rsid w:val="008E505F"/>
    <w:rsid w:val="008E714C"/>
    <w:rsid w:val="008E7330"/>
    <w:rsid w:val="008F48BF"/>
    <w:rsid w:val="00901A0E"/>
    <w:rsid w:val="00902BEA"/>
    <w:rsid w:val="00903152"/>
    <w:rsid w:val="00910433"/>
    <w:rsid w:val="009117EF"/>
    <w:rsid w:val="00911D0F"/>
    <w:rsid w:val="00912AAD"/>
    <w:rsid w:val="00913081"/>
    <w:rsid w:val="00913911"/>
    <w:rsid w:val="00921695"/>
    <w:rsid w:val="00925997"/>
    <w:rsid w:val="009274CD"/>
    <w:rsid w:val="009325EF"/>
    <w:rsid w:val="00932866"/>
    <w:rsid w:val="00932E7E"/>
    <w:rsid w:val="0093533C"/>
    <w:rsid w:val="009408F6"/>
    <w:rsid w:val="009454B9"/>
    <w:rsid w:val="0094609B"/>
    <w:rsid w:val="00947F30"/>
    <w:rsid w:val="009504E1"/>
    <w:rsid w:val="00950D5D"/>
    <w:rsid w:val="0095263A"/>
    <w:rsid w:val="009560C5"/>
    <w:rsid w:val="00961A0C"/>
    <w:rsid w:val="009649F3"/>
    <w:rsid w:val="00971DDD"/>
    <w:rsid w:val="00974C0A"/>
    <w:rsid w:val="009753E5"/>
    <w:rsid w:val="00975CEA"/>
    <w:rsid w:val="00980008"/>
    <w:rsid w:val="0098671C"/>
    <w:rsid w:val="00991B1D"/>
    <w:rsid w:val="0099765C"/>
    <w:rsid w:val="009977A5"/>
    <w:rsid w:val="009A215E"/>
    <w:rsid w:val="009A3035"/>
    <w:rsid w:val="009A3739"/>
    <w:rsid w:val="009A4537"/>
    <w:rsid w:val="009A4C24"/>
    <w:rsid w:val="009A6825"/>
    <w:rsid w:val="009A702C"/>
    <w:rsid w:val="009A7759"/>
    <w:rsid w:val="009B1A5A"/>
    <w:rsid w:val="009B26F1"/>
    <w:rsid w:val="009B3583"/>
    <w:rsid w:val="009C0EA7"/>
    <w:rsid w:val="009C55B5"/>
    <w:rsid w:val="009C713A"/>
    <w:rsid w:val="009E6389"/>
    <w:rsid w:val="009F72BE"/>
    <w:rsid w:val="009F7BD3"/>
    <w:rsid w:val="00A0223D"/>
    <w:rsid w:val="00A03EBF"/>
    <w:rsid w:val="00A057BF"/>
    <w:rsid w:val="00A06FBF"/>
    <w:rsid w:val="00A11010"/>
    <w:rsid w:val="00A15B6E"/>
    <w:rsid w:val="00A16BC4"/>
    <w:rsid w:val="00A20BCE"/>
    <w:rsid w:val="00A21530"/>
    <w:rsid w:val="00A22038"/>
    <w:rsid w:val="00A23D42"/>
    <w:rsid w:val="00A30CAF"/>
    <w:rsid w:val="00A33011"/>
    <w:rsid w:val="00A4167D"/>
    <w:rsid w:val="00A42E4C"/>
    <w:rsid w:val="00A45BDA"/>
    <w:rsid w:val="00A47180"/>
    <w:rsid w:val="00A51D0A"/>
    <w:rsid w:val="00A528D8"/>
    <w:rsid w:val="00A5404C"/>
    <w:rsid w:val="00A569F5"/>
    <w:rsid w:val="00A56F86"/>
    <w:rsid w:val="00A57C38"/>
    <w:rsid w:val="00A61E62"/>
    <w:rsid w:val="00A64C48"/>
    <w:rsid w:val="00A65CD3"/>
    <w:rsid w:val="00A674EF"/>
    <w:rsid w:val="00A67CDB"/>
    <w:rsid w:val="00A7042A"/>
    <w:rsid w:val="00A719BC"/>
    <w:rsid w:val="00A7439B"/>
    <w:rsid w:val="00A76F12"/>
    <w:rsid w:val="00A947D3"/>
    <w:rsid w:val="00A94E64"/>
    <w:rsid w:val="00A95402"/>
    <w:rsid w:val="00AA01CC"/>
    <w:rsid w:val="00AA2DCA"/>
    <w:rsid w:val="00AA3E37"/>
    <w:rsid w:val="00AA783F"/>
    <w:rsid w:val="00AB4657"/>
    <w:rsid w:val="00AB5533"/>
    <w:rsid w:val="00AB65DD"/>
    <w:rsid w:val="00AB7564"/>
    <w:rsid w:val="00AB7B4A"/>
    <w:rsid w:val="00AC1099"/>
    <w:rsid w:val="00AC1CC7"/>
    <w:rsid w:val="00AC72A4"/>
    <w:rsid w:val="00AC7618"/>
    <w:rsid w:val="00AD118E"/>
    <w:rsid w:val="00AD156A"/>
    <w:rsid w:val="00AD16A8"/>
    <w:rsid w:val="00AD5F64"/>
    <w:rsid w:val="00AD61CB"/>
    <w:rsid w:val="00AE00BA"/>
    <w:rsid w:val="00AE05D9"/>
    <w:rsid w:val="00AE07B5"/>
    <w:rsid w:val="00AE190A"/>
    <w:rsid w:val="00AE36A4"/>
    <w:rsid w:val="00AE43EC"/>
    <w:rsid w:val="00AE52D4"/>
    <w:rsid w:val="00AE5714"/>
    <w:rsid w:val="00AE7D06"/>
    <w:rsid w:val="00AF35F6"/>
    <w:rsid w:val="00AF3D77"/>
    <w:rsid w:val="00B00066"/>
    <w:rsid w:val="00B0059D"/>
    <w:rsid w:val="00B058F7"/>
    <w:rsid w:val="00B060D0"/>
    <w:rsid w:val="00B06409"/>
    <w:rsid w:val="00B110FD"/>
    <w:rsid w:val="00B11C6B"/>
    <w:rsid w:val="00B21D40"/>
    <w:rsid w:val="00B22D42"/>
    <w:rsid w:val="00B22DE8"/>
    <w:rsid w:val="00B231DF"/>
    <w:rsid w:val="00B243AB"/>
    <w:rsid w:val="00B30AAE"/>
    <w:rsid w:val="00B33CAB"/>
    <w:rsid w:val="00B37723"/>
    <w:rsid w:val="00B42DA8"/>
    <w:rsid w:val="00B4369B"/>
    <w:rsid w:val="00B44990"/>
    <w:rsid w:val="00B4627E"/>
    <w:rsid w:val="00B47A0A"/>
    <w:rsid w:val="00B47E3A"/>
    <w:rsid w:val="00B5175D"/>
    <w:rsid w:val="00B53367"/>
    <w:rsid w:val="00B5542F"/>
    <w:rsid w:val="00B671AC"/>
    <w:rsid w:val="00B71B31"/>
    <w:rsid w:val="00B743AB"/>
    <w:rsid w:val="00B754BE"/>
    <w:rsid w:val="00B80756"/>
    <w:rsid w:val="00B82552"/>
    <w:rsid w:val="00B82C38"/>
    <w:rsid w:val="00B840F1"/>
    <w:rsid w:val="00B870C8"/>
    <w:rsid w:val="00B87971"/>
    <w:rsid w:val="00B900FB"/>
    <w:rsid w:val="00B92E70"/>
    <w:rsid w:val="00B9489A"/>
    <w:rsid w:val="00B94C64"/>
    <w:rsid w:val="00B96360"/>
    <w:rsid w:val="00B96DCA"/>
    <w:rsid w:val="00BA10DE"/>
    <w:rsid w:val="00BA145E"/>
    <w:rsid w:val="00BA14BC"/>
    <w:rsid w:val="00BA21C2"/>
    <w:rsid w:val="00BA4CA8"/>
    <w:rsid w:val="00BA5E44"/>
    <w:rsid w:val="00BA6980"/>
    <w:rsid w:val="00BA79A8"/>
    <w:rsid w:val="00BB0C44"/>
    <w:rsid w:val="00BB3666"/>
    <w:rsid w:val="00BC4C45"/>
    <w:rsid w:val="00BC7465"/>
    <w:rsid w:val="00BC7AD3"/>
    <w:rsid w:val="00BD202F"/>
    <w:rsid w:val="00BD55B0"/>
    <w:rsid w:val="00BD5B44"/>
    <w:rsid w:val="00BD735F"/>
    <w:rsid w:val="00BF4B05"/>
    <w:rsid w:val="00BF739E"/>
    <w:rsid w:val="00C00885"/>
    <w:rsid w:val="00C03F41"/>
    <w:rsid w:val="00C061FB"/>
    <w:rsid w:val="00C11DB7"/>
    <w:rsid w:val="00C126CF"/>
    <w:rsid w:val="00C127F6"/>
    <w:rsid w:val="00C13AF5"/>
    <w:rsid w:val="00C15DCD"/>
    <w:rsid w:val="00C170B3"/>
    <w:rsid w:val="00C236FF"/>
    <w:rsid w:val="00C24E43"/>
    <w:rsid w:val="00C3181C"/>
    <w:rsid w:val="00C3495E"/>
    <w:rsid w:val="00C4132B"/>
    <w:rsid w:val="00C42E1A"/>
    <w:rsid w:val="00C44702"/>
    <w:rsid w:val="00C4527A"/>
    <w:rsid w:val="00C45831"/>
    <w:rsid w:val="00C50FFF"/>
    <w:rsid w:val="00C526EF"/>
    <w:rsid w:val="00C52E08"/>
    <w:rsid w:val="00C54F39"/>
    <w:rsid w:val="00C55125"/>
    <w:rsid w:val="00C573B4"/>
    <w:rsid w:val="00C5762B"/>
    <w:rsid w:val="00C62293"/>
    <w:rsid w:val="00C66E27"/>
    <w:rsid w:val="00C6726A"/>
    <w:rsid w:val="00C71F45"/>
    <w:rsid w:val="00C724EF"/>
    <w:rsid w:val="00C72DB3"/>
    <w:rsid w:val="00C7423F"/>
    <w:rsid w:val="00C7530A"/>
    <w:rsid w:val="00C76116"/>
    <w:rsid w:val="00C76BB1"/>
    <w:rsid w:val="00C76C39"/>
    <w:rsid w:val="00C76F51"/>
    <w:rsid w:val="00C80B95"/>
    <w:rsid w:val="00C818CE"/>
    <w:rsid w:val="00C81B30"/>
    <w:rsid w:val="00C8256A"/>
    <w:rsid w:val="00C82F78"/>
    <w:rsid w:val="00C84FBB"/>
    <w:rsid w:val="00C86F7F"/>
    <w:rsid w:val="00C92ADE"/>
    <w:rsid w:val="00C933B6"/>
    <w:rsid w:val="00C97A3B"/>
    <w:rsid w:val="00CA0855"/>
    <w:rsid w:val="00CA1514"/>
    <w:rsid w:val="00CA1DA3"/>
    <w:rsid w:val="00CA22E1"/>
    <w:rsid w:val="00CA402E"/>
    <w:rsid w:val="00CA4210"/>
    <w:rsid w:val="00CA559D"/>
    <w:rsid w:val="00CA5A07"/>
    <w:rsid w:val="00CA74D7"/>
    <w:rsid w:val="00CB0955"/>
    <w:rsid w:val="00CB2369"/>
    <w:rsid w:val="00CB3AF4"/>
    <w:rsid w:val="00CB40C0"/>
    <w:rsid w:val="00CB50A6"/>
    <w:rsid w:val="00CB7632"/>
    <w:rsid w:val="00CB7856"/>
    <w:rsid w:val="00CC04A2"/>
    <w:rsid w:val="00CC6C21"/>
    <w:rsid w:val="00CD32B4"/>
    <w:rsid w:val="00CD3613"/>
    <w:rsid w:val="00CD39B6"/>
    <w:rsid w:val="00CD3D70"/>
    <w:rsid w:val="00CD4C8B"/>
    <w:rsid w:val="00CD616E"/>
    <w:rsid w:val="00CD7AB0"/>
    <w:rsid w:val="00CE76DE"/>
    <w:rsid w:val="00CF1EC1"/>
    <w:rsid w:val="00D01965"/>
    <w:rsid w:val="00D01AD0"/>
    <w:rsid w:val="00D036FC"/>
    <w:rsid w:val="00D059E3"/>
    <w:rsid w:val="00D06805"/>
    <w:rsid w:val="00D07043"/>
    <w:rsid w:val="00D112DD"/>
    <w:rsid w:val="00D116FA"/>
    <w:rsid w:val="00D13A6A"/>
    <w:rsid w:val="00D145F9"/>
    <w:rsid w:val="00D16904"/>
    <w:rsid w:val="00D16F92"/>
    <w:rsid w:val="00D20A39"/>
    <w:rsid w:val="00D2150F"/>
    <w:rsid w:val="00D227C5"/>
    <w:rsid w:val="00D253C8"/>
    <w:rsid w:val="00D2610D"/>
    <w:rsid w:val="00D2748C"/>
    <w:rsid w:val="00D3026D"/>
    <w:rsid w:val="00D34715"/>
    <w:rsid w:val="00D367AD"/>
    <w:rsid w:val="00D36B47"/>
    <w:rsid w:val="00D44E57"/>
    <w:rsid w:val="00D458AE"/>
    <w:rsid w:val="00D47783"/>
    <w:rsid w:val="00D532ED"/>
    <w:rsid w:val="00D56BD5"/>
    <w:rsid w:val="00D611E6"/>
    <w:rsid w:val="00D61602"/>
    <w:rsid w:val="00D6420E"/>
    <w:rsid w:val="00D659BC"/>
    <w:rsid w:val="00D66085"/>
    <w:rsid w:val="00D74686"/>
    <w:rsid w:val="00D76467"/>
    <w:rsid w:val="00D77E59"/>
    <w:rsid w:val="00D87EC8"/>
    <w:rsid w:val="00D9065B"/>
    <w:rsid w:val="00D911A7"/>
    <w:rsid w:val="00D91E0D"/>
    <w:rsid w:val="00D950A8"/>
    <w:rsid w:val="00D97318"/>
    <w:rsid w:val="00D97889"/>
    <w:rsid w:val="00DA3F7D"/>
    <w:rsid w:val="00DA580A"/>
    <w:rsid w:val="00DB1FC5"/>
    <w:rsid w:val="00DB384E"/>
    <w:rsid w:val="00DB642E"/>
    <w:rsid w:val="00DB7E21"/>
    <w:rsid w:val="00DD05A6"/>
    <w:rsid w:val="00DD0EE9"/>
    <w:rsid w:val="00DD79FA"/>
    <w:rsid w:val="00DE18CE"/>
    <w:rsid w:val="00DE44C2"/>
    <w:rsid w:val="00DE645C"/>
    <w:rsid w:val="00DF0009"/>
    <w:rsid w:val="00DF09FD"/>
    <w:rsid w:val="00DF1666"/>
    <w:rsid w:val="00DF3C18"/>
    <w:rsid w:val="00DF6096"/>
    <w:rsid w:val="00E011F6"/>
    <w:rsid w:val="00E01C47"/>
    <w:rsid w:val="00E01E74"/>
    <w:rsid w:val="00E04DC5"/>
    <w:rsid w:val="00E06A62"/>
    <w:rsid w:val="00E13457"/>
    <w:rsid w:val="00E14E67"/>
    <w:rsid w:val="00E17447"/>
    <w:rsid w:val="00E17EDA"/>
    <w:rsid w:val="00E2011E"/>
    <w:rsid w:val="00E2071D"/>
    <w:rsid w:val="00E220ED"/>
    <w:rsid w:val="00E22C01"/>
    <w:rsid w:val="00E22E0D"/>
    <w:rsid w:val="00E264F6"/>
    <w:rsid w:val="00E275C4"/>
    <w:rsid w:val="00E30966"/>
    <w:rsid w:val="00E30B27"/>
    <w:rsid w:val="00E30F47"/>
    <w:rsid w:val="00E324DE"/>
    <w:rsid w:val="00E33333"/>
    <w:rsid w:val="00E4373A"/>
    <w:rsid w:val="00E449C8"/>
    <w:rsid w:val="00E44B60"/>
    <w:rsid w:val="00E46584"/>
    <w:rsid w:val="00E477B5"/>
    <w:rsid w:val="00E52E6A"/>
    <w:rsid w:val="00E549D7"/>
    <w:rsid w:val="00E61DF1"/>
    <w:rsid w:val="00E637B9"/>
    <w:rsid w:val="00E72EC2"/>
    <w:rsid w:val="00E7324E"/>
    <w:rsid w:val="00E7441C"/>
    <w:rsid w:val="00E822EE"/>
    <w:rsid w:val="00E82FEC"/>
    <w:rsid w:val="00E8319E"/>
    <w:rsid w:val="00E84561"/>
    <w:rsid w:val="00E85F0D"/>
    <w:rsid w:val="00E8647E"/>
    <w:rsid w:val="00E92A13"/>
    <w:rsid w:val="00E94E6A"/>
    <w:rsid w:val="00E96F81"/>
    <w:rsid w:val="00EA3C9B"/>
    <w:rsid w:val="00EA53A6"/>
    <w:rsid w:val="00EA53C6"/>
    <w:rsid w:val="00EB0963"/>
    <w:rsid w:val="00EB256D"/>
    <w:rsid w:val="00EB39BA"/>
    <w:rsid w:val="00EB5E66"/>
    <w:rsid w:val="00EC2B49"/>
    <w:rsid w:val="00EC3398"/>
    <w:rsid w:val="00EC446D"/>
    <w:rsid w:val="00EC78EB"/>
    <w:rsid w:val="00ED03F9"/>
    <w:rsid w:val="00ED0D63"/>
    <w:rsid w:val="00ED3691"/>
    <w:rsid w:val="00ED437A"/>
    <w:rsid w:val="00EE2AE8"/>
    <w:rsid w:val="00EE49A9"/>
    <w:rsid w:val="00EE6891"/>
    <w:rsid w:val="00EF5177"/>
    <w:rsid w:val="00F0000E"/>
    <w:rsid w:val="00F01E61"/>
    <w:rsid w:val="00F11423"/>
    <w:rsid w:val="00F21C96"/>
    <w:rsid w:val="00F2261B"/>
    <w:rsid w:val="00F2789C"/>
    <w:rsid w:val="00F329A1"/>
    <w:rsid w:val="00F32EC2"/>
    <w:rsid w:val="00F34679"/>
    <w:rsid w:val="00F36C64"/>
    <w:rsid w:val="00F36FA7"/>
    <w:rsid w:val="00F37263"/>
    <w:rsid w:val="00F373CD"/>
    <w:rsid w:val="00F42FE0"/>
    <w:rsid w:val="00F44161"/>
    <w:rsid w:val="00F5169C"/>
    <w:rsid w:val="00F52B98"/>
    <w:rsid w:val="00F53CB4"/>
    <w:rsid w:val="00F54561"/>
    <w:rsid w:val="00F54D65"/>
    <w:rsid w:val="00F60125"/>
    <w:rsid w:val="00F60EFD"/>
    <w:rsid w:val="00F65648"/>
    <w:rsid w:val="00F67BBA"/>
    <w:rsid w:val="00F742C8"/>
    <w:rsid w:val="00F76316"/>
    <w:rsid w:val="00F765C7"/>
    <w:rsid w:val="00F772EC"/>
    <w:rsid w:val="00F85266"/>
    <w:rsid w:val="00F90E0E"/>
    <w:rsid w:val="00F92C24"/>
    <w:rsid w:val="00F92E06"/>
    <w:rsid w:val="00F96C8F"/>
    <w:rsid w:val="00FA055D"/>
    <w:rsid w:val="00FA1BFF"/>
    <w:rsid w:val="00FA42F1"/>
    <w:rsid w:val="00FA577C"/>
    <w:rsid w:val="00FA5958"/>
    <w:rsid w:val="00FA7339"/>
    <w:rsid w:val="00FA754C"/>
    <w:rsid w:val="00FB0A0E"/>
    <w:rsid w:val="00FB12BD"/>
    <w:rsid w:val="00FC64C4"/>
    <w:rsid w:val="00FD0864"/>
    <w:rsid w:val="00FD3252"/>
    <w:rsid w:val="00FE0D8E"/>
    <w:rsid w:val="00FE1A42"/>
    <w:rsid w:val="00FE445B"/>
    <w:rsid w:val="00FE45A2"/>
    <w:rsid w:val="00FE56F0"/>
    <w:rsid w:val="00FE6A86"/>
    <w:rsid w:val="00FF034E"/>
    <w:rsid w:val="00FF07F2"/>
    <w:rsid w:val="00FF1B03"/>
    <w:rsid w:val="00FF1B45"/>
    <w:rsid w:val="00FF2C93"/>
    <w:rsid w:val="00FF6A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1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6798"/>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5B5"/>
    <w:rPr>
      <w:color w:val="0000FF"/>
      <w:u w:val="single"/>
    </w:rPr>
  </w:style>
  <w:style w:type="paragraph" w:styleId="a4">
    <w:name w:val="Normal (Web)"/>
    <w:basedOn w:val="a"/>
    <w:rsid w:val="001615B5"/>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msoins0">
    <w:name w:val="msoins"/>
    <w:basedOn w:val="a0"/>
    <w:rsid w:val="001615B5"/>
  </w:style>
  <w:style w:type="paragraph" w:styleId="a5">
    <w:name w:val="Body Text Indent"/>
    <w:basedOn w:val="a"/>
    <w:rsid w:val="001615B5"/>
    <w:pPr>
      <w:adjustRightInd w:val="0"/>
      <w:snapToGrid w:val="0"/>
      <w:ind w:firstLineChars="200" w:firstLine="420"/>
      <w:textAlignment w:val="center"/>
    </w:pPr>
    <w:rPr>
      <w:rFonts w:ascii="Arial" w:eastAsia="宋体" w:hAnsi="Arial" w:cs="Arial"/>
      <w:snapToGrid w:val="0"/>
      <w:sz w:val="21"/>
      <w:szCs w:val="21"/>
    </w:rPr>
  </w:style>
  <w:style w:type="paragraph" w:styleId="a6">
    <w:name w:val="header"/>
    <w:basedOn w:val="a"/>
    <w:link w:val="Char"/>
    <w:rsid w:val="004B65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4B657F"/>
    <w:rPr>
      <w:rFonts w:eastAsia="仿宋_GB2312"/>
      <w:kern w:val="2"/>
      <w:sz w:val="18"/>
      <w:szCs w:val="18"/>
    </w:rPr>
  </w:style>
  <w:style w:type="paragraph" w:styleId="a7">
    <w:name w:val="footer"/>
    <w:basedOn w:val="a"/>
    <w:link w:val="Char0"/>
    <w:rsid w:val="004B657F"/>
    <w:pPr>
      <w:tabs>
        <w:tab w:val="center" w:pos="4153"/>
        <w:tab w:val="right" w:pos="8306"/>
      </w:tabs>
      <w:snapToGrid w:val="0"/>
      <w:jc w:val="left"/>
    </w:pPr>
    <w:rPr>
      <w:sz w:val="18"/>
      <w:szCs w:val="18"/>
    </w:rPr>
  </w:style>
  <w:style w:type="character" w:customStyle="1" w:styleId="Char0">
    <w:name w:val="页脚 Char"/>
    <w:basedOn w:val="a0"/>
    <w:link w:val="a7"/>
    <w:rsid w:val="004B657F"/>
    <w:rPr>
      <w:rFonts w:eastAsia="仿宋_GB2312"/>
      <w:kern w:val="2"/>
      <w:sz w:val="18"/>
      <w:szCs w:val="18"/>
    </w:rPr>
  </w:style>
  <w:style w:type="character" w:customStyle="1" w:styleId="corporatetitle1">
    <w:name w:val="corporatetitle1"/>
    <w:basedOn w:val="a0"/>
    <w:rsid w:val="001D5548"/>
    <w:rPr>
      <w:b/>
      <w:bCs/>
      <w:color w:val="CC0000"/>
      <w:spacing w:val="375"/>
      <w:sz w:val="22"/>
      <w:szCs w:val="22"/>
    </w:rPr>
  </w:style>
  <w:style w:type="paragraph" w:customStyle="1" w:styleId="CharCharCharCharCharCharChar">
    <w:name w:val="Char Char Char Char Char Char Char"/>
    <w:basedOn w:val="a"/>
    <w:autoRedefine/>
    <w:rsid w:val="001D5548"/>
    <w:pPr>
      <w:tabs>
        <w:tab w:val="num" w:pos="360"/>
      </w:tabs>
    </w:pPr>
    <w:rPr>
      <w:rFonts w:eastAsia="宋体"/>
      <w:sz w:val="24"/>
      <w:szCs w:val="24"/>
    </w:rPr>
  </w:style>
  <w:style w:type="character" w:styleId="a8">
    <w:name w:val="annotation reference"/>
    <w:basedOn w:val="a0"/>
    <w:semiHidden/>
    <w:rsid w:val="005B5647"/>
    <w:rPr>
      <w:sz w:val="21"/>
      <w:szCs w:val="21"/>
    </w:rPr>
  </w:style>
  <w:style w:type="paragraph" w:styleId="a9">
    <w:name w:val="annotation text"/>
    <w:basedOn w:val="a"/>
    <w:semiHidden/>
    <w:rsid w:val="005B5647"/>
    <w:pPr>
      <w:jc w:val="left"/>
    </w:pPr>
  </w:style>
  <w:style w:type="paragraph" w:styleId="aa">
    <w:name w:val="annotation subject"/>
    <w:basedOn w:val="a9"/>
    <w:next w:val="a9"/>
    <w:semiHidden/>
    <w:rsid w:val="005B5647"/>
    <w:rPr>
      <w:b/>
      <w:bCs/>
    </w:rPr>
  </w:style>
  <w:style w:type="paragraph" w:styleId="ab">
    <w:name w:val="Balloon Text"/>
    <w:basedOn w:val="a"/>
    <w:semiHidden/>
    <w:rsid w:val="005B5647"/>
    <w:rPr>
      <w:sz w:val="18"/>
      <w:szCs w:val="18"/>
    </w:rPr>
  </w:style>
  <w:style w:type="paragraph" w:customStyle="1" w:styleId="CharCharChar">
    <w:name w:val="Char Char Char"/>
    <w:basedOn w:val="a"/>
    <w:autoRedefine/>
    <w:rsid w:val="00B87971"/>
    <w:pPr>
      <w:tabs>
        <w:tab w:val="num" w:pos="360"/>
      </w:tabs>
    </w:pPr>
    <w:rPr>
      <w:rFonts w:eastAsia="宋体"/>
      <w:sz w:val="24"/>
      <w:szCs w:val="24"/>
    </w:rPr>
  </w:style>
  <w:style w:type="character" w:styleId="ac">
    <w:name w:val="page number"/>
    <w:basedOn w:val="a0"/>
    <w:rsid w:val="006619E3"/>
  </w:style>
  <w:style w:type="paragraph" w:customStyle="1" w:styleId="Char1">
    <w:name w:val="Char"/>
    <w:basedOn w:val="a"/>
    <w:rsid w:val="0095263A"/>
    <w:rPr>
      <w:rFonts w:ascii="Tahoma" w:eastAsia="宋体" w:hAnsi="Tahoma"/>
      <w:sz w:val="24"/>
    </w:rPr>
  </w:style>
  <w:style w:type="table" w:styleId="ad">
    <w:name w:val="Table Grid"/>
    <w:basedOn w:val="a1"/>
    <w:rsid w:val="0083675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List Paragraph"/>
    <w:basedOn w:val="a"/>
    <w:uiPriority w:val="34"/>
    <w:qFormat/>
    <w:rsid w:val="0025086E"/>
    <w:pPr>
      <w:ind w:firstLineChars="200" w:firstLine="420"/>
    </w:pPr>
  </w:style>
  <w:style w:type="paragraph" w:styleId="af">
    <w:name w:val="Document Map"/>
    <w:basedOn w:val="a"/>
    <w:link w:val="Char2"/>
    <w:rsid w:val="007873C1"/>
    <w:rPr>
      <w:rFonts w:ascii="宋体" w:eastAsia="宋体"/>
      <w:sz w:val="18"/>
      <w:szCs w:val="18"/>
    </w:rPr>
  </w:style>
  <w:style w:type="character" w:customStyle="1" w:styleId="Char2">
    <w:name w:val="文档结构图 Char"/>
    <w:basedOn w:val="a0"/>
    <w:link w:val="af"/>
    <w:rsid w:val="007873C1"/>
    <w:rPr>
      <w:rFonts w:ascii="宋体"/>
      <w:kern w:val="2"/>
      <w:sz w:val="18"/>
      <w:szCs w:val="18"/>
    </w:rPr>
  </w:style>
</w:styles>
</file>

<file path=word/webSettings.xml><?xml version="1.0" encoding="utf-8"?>
<w:webSettings xmlns:r="http://schemas.openxmlformats.org/officeDocument/2006/relationships" xmlns:w="http://schemas.openxmlformats.org/wordprocessingml/2006/main">
  <w:divs>
    <w:div w:id="907769168">
      <w:bodyDiv w:val="1"/>
      <w:marLeft w:val="0"/>
      <w:marRight w:val="0"/>
      <w:marTop w:val="0"/>
      <w:marBottom w:val="0"/>
      <w:divBdr>
        <w:top w:val="none" w:sz="0" w:space="0" w:color="auto"/>
        <w:left w:val="none" w:sz="0" w:space="0" w:color="auto"/>
        <w:bottom w:val="none" w:sz="0" w:space="0" w:color="auto"/>
        <w:right w:val="none" w:sz="0" w:space="0" w:color="auto"/>
      </w:divBdr>
      <w:divsChild>
        <w:div w:id="1523932518">
          <w:marLeft w:val="0"/>
          <w:marRight w:val="0"/>
          <w:marTop w:val="0"/>
          <w:marBottom w:val="0"/>
          <w:divBdr>
            <w:top w:val="none" w:sz="0" w:space="0" w:color="auto"/>
            <w:left w:val="none" w:sz="0" w:space="0" w:color="auto"/>
            <w:bottom w:val="none" w:sz="0" w:space="0" w:color="auto"/>
            <w:right w:val="none" w:sz="0" w:space="0" w:color="auto"/>
          </w:divBdr>
          <w:divsChild>
            <w:div w:id="1265308222">
              <w:marLeft w:val="0"/>
              <w:marRight w:val="0"/>
              <w:marTop w:val="0"/>
              <w:marBottom w:val="0"/>
              <w:divBdr>
                <w:top w:val="none" w:sz="0" w:space="0" w:color="auto"/>
                <w:left w:val="single" w:sz="6" w:space="6" w:color="F3EBE7"/>
                <w:bottom w:val="none" w:sz="0" w:space="0" w:color="auto"/>
                <w:right w:val="single" w:sz="6" w:space="6" w:color="F3EBE7"/>
              </w:divBdr>
              <w:divsChild>
                <w:div w:id="1819808441">
                  <w:marLeft w:val="0"/>
                  <w:marRight w:val="0"/>
                  <w:marTop w:val="75"/>
                  <w:marBottom w:val="0"/>
                  <w:divBdr>
                    <w:top w:val="none" w:sz="0" w:space="0" w:color="auto"/>
                    <w:left w:val="none" w:sz="0" w:space="0" w:color="auto"/>
                    <w:bottom w:val="none" w:sz="0" w:space="0" w:color="auto"/>
                    <w:right w:val="none" w:sz="0" w:space="0" w:color="auto"/>
                  </w:divBdr>
                  <w:divsChild>
                    <w:div w:id="1048605323">
                      <w:marLeft w:val="0"/>
                      <w:marRight w:val="0"/>
                      <w:marTop w:val="0"/>
                      <w:marBottom w:val="0"/>
                      <w:divBdr>
                        <w:top w:val="none" w:sz="0" w:space="0" w:color="auto"/>
                        <w:left w:val="none" w:sz="0" w:space="0" w:color="auto"/>
                        <w:bottom w:val="none" w:sz="0" w:space="0" w:color="auto"/>
                        <w:right w:val="none" w:sz="0" w:space="0" w:color="auto"/>
                      </w:divBdr>
                      <w:divsChild>
                        <w:div w:id="284059">
                          <w:marLeft w:val="0"/>
                          <w:marRight w:val="0"/>
                          <w:marTop w:val="0"/>
                          <w:marBottom w:val="0"/>
                          <w:divBdr>
                            <w:top w:val="none" w:sz="0" w:space="0" w:color="auto"/>
                            <w:left w:val="none" w:sz="0" w:space="0" w:color="auto"/>
                            <w:bottom w:val="none" w:sz="0" w:space="0" w:color="auto"/>
                            <w:right w:val="none" w:sz="0" w:space="0" w:color="auto"/>
                          </w:divBdr>
                          <w:divsChild>
                            <w:div w:id="35123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420005">
      <w:bodyDiv w:val="1"/>
      <w:marLeft w:val="0"/>
      <w:marRight w:val="0"/>
      <w:marTop w:val="0"/>
      <w:marBottom w:val="0"/>
      <w:divBdr>
        <w:top w:val="none" w:sz="0" w:space="0" w:color="auto"/>
        <w:left w:val="none" w:sz="0" w:space="0" w:color="auto"/>
        <w:bottom w:val="none" w:sz="0" w:space="0" w:color="auto"/>
        <w:right w:val="none" w:sz="0" w:space="0" w:color="auto"/>
      </w:divBdr>
      <w:divsChild>
        <w:div w:id="1550530515">
          <w:marLeft w:val="0"/>
          <w:marRight w:val="0"/>
          <w:marTop w:val="0"/>
          <w:marBottom w:val="0"/>
          <w:divBdr>
            <w:top w:val="none" w:sz="0" w:space="0" w:color="auto"/>
            <w:left w:val="none" w:sz="0" w:space="0" w:color="auto"/>
            <w:bottom w:val="none" w:sz="0" w:space="0" w:color="auto"/>
            <w:right w:val="none" w:sz="0" w:space="0" w:color="auto"/>
          </w:divBdr>
        </w:div>
      </w:divsChild>
    </w:div>
    <w:div w:id="1031299259">
      <w:bodyDiv w:val="1"/>
      <w:marLeft w:val="0"/>
      <w:marRight w:val="0"/>
      <w:marTop w:val="0"/>
      <w:marBottom w:val="0"/>
      <w:divBdr>
        <w:top w:val="none" w:sz="0" w:space="0" w:color="auto"/>
        <w:left w:val="none" w:sz="0" w:space="0" w:color="auto"/>
        <w:bottom w:val="none" w:sz="0" w:space="0" w:color="auto"/>
        <w:right w:val="none" w:sz="0" w:space="0" w:color="auto"/>
      </w:divBdr>
      <w:divsChild>
        <w:div w:id="1274748845">
          <w:marLeft w:val="0"/>
          <w:marRight w:val="0"/>
          <w:marTop w:val="0"/>
          <w:marBottom w:val="0"/>
          <w:divBdr>
            <w:top w:val="none" w:sz="0" w:space="0" w:color="auto"/>
            <w:left w:val="none" w:sz="0" w:space="0" w:color="auto"/>
            <w:bottom w:val="none" w:sz="0" w:space="0" w:color="auto"/>
            <w:right w:val="none" w:sz="0" w:space="0" w:color="auto"/>
          </w:divBdr>
          <w:divsChild>
            <w:div w:id="754013322">
              <w:marLeft w:val="0"/>
              <w:marRight w:val="0"/>
              <w:marTop w:val="0"/>
              <w:marBottom w:val="0"/>
              <w:divBdr>
                <w:top w:val="none" w:sz="0" w:space="0" w:color="auto"/>
                <w:left w:val="single" w:sz="6" w:space="6" w:color="F3EBE7"/>
                <w:bottom w:val="none" w:sz="0" w:space="0" w:color="auto"/>
                <w:right w:val="single" w:sz="6" w:space="6" w:color="F3EBE7"/>
              </w:divBdr>
              <w:divsChild>
                <w:div w:id="1852524920">
                  <w:marLeft w:val="0"/>
                  <w:marRight w:val="0"/>
                  <w:marTop w:val="75"/>
                  <w:marBottom w:val="0"/>
                  <w:divBdr>
                    <w:top w:val="none" w:sz="0" w:space="0" w:color="auto"/>
                    <w:left w:val="none" w:sz="0" w:space="0" w:color="auto"/>
                    <w:bottom w:val="none" w:sz="0" w:space="0" w:color="auto"/>
                    <w:right w:val="none" w:sz="0" w:space="0" w:color="auto"/>
                  </w:divBdr>
                  <w:divsChild>
                    <w:div w:id="22754334">
                      <w:marLeft w:val="0"/>
                      <w:marRight w:val="0"/>
                      <w:marTop w:val="0"/>
                      <w:marBottom w:val="0"/>
                      <w:divBdr>
                        <w:top w:val="none" w:sz="0" w:space="0" w:color="auto"/>
                        <w:left w:val="none" w:sz="0" w:space="0" w:color="auto"/>
                        <w:bottom w:val="none" w:sz="0" w:space="0" w:color="auto"/>
                        <w:right w:val="none" w:sz="0" w:space="0" w:color="auto"/>
                      </w:divBdr>
                      <w:divsChild>
                        <w:div w:id="1288003437">
                          <w:marLeft w:val="0"/>
                          <w:marRight w:val="0"/>
                          <w:marTop w:val="0"/>
                          <w:marBottom w:val="0"/>
                          <w:divBdr>
                            <w:top w:val="none" w:sz="0" w:space="0" w:color="auto"/>
                            <w:left w:val="none" w:sz="0" w:space="0" w:color="auto"/>
                            <w:bottom w:val="none" w:sz="0" w:space="0" w:color="auto"/>
                            <w:right w:val="none" w:sz="0" w:space="0" w:color="auto"/>
                          </w:divBdr>
                          <w:divsChild>
                            <w:div w:id="160773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9673754">
      <w:bodyDiv w:val="1"/>
      <w:marLeft w:val="0"/>
      <w:marRight w:val="0"/>
      <w:marTop w:val="0"/>
      <w:marBottom w:val="0"/>
      <w:divBdr>
        <w:top w:val="none" w:sz="0" w:space="0" w:color="auto"/>
        <w:left w:val="none" w:sz="0" w:space="0" w:color="auto"/>
        <w:bottom w:val="none" w:sz="0" w:space="0" w:color="auto"/>
        <w:right w:val="none" w:sz="0" w:space="0" w:color="auto"/>
      </w:divBdr>
    </w:div>
    <w:div w:id="1750077928">
      <w:bodyDiv w:val="1"/>
      <w:marLeft w:val="0"/>
      <w:marRight w:val="0"/>
      <w:marTop w:val="0"/>
      <w:marBottom w:val="0"/>
      <w:divBdr>
        <w:top w:val="none" w:sz="0" w:space="0" w:color="auto"/>
        <w:left w:val="none" w:sz="0" w:space="0" w:color="auto"/>
        <w:bottom w:val="none" w:sz="0" w:space="0" w:color="auto"/>
        <w:right w:val="none" w:sz="0" w:space="0" w:color="auto"/>
      </w:divBdr>
      <w:divsChild>
        <w:div w:id="307325749">
          <w:marLeft w:val="0"/>
          <w:marRight w:val="0"/>
          <w:marTop w:val="0"/>
          <w:marBottom w:val="0"/>
          <w:divBdr>
            <w:top w:val="none" w:sz="0" w:space="0" w:color="auto"/>
            <w:left w:val="none" w:sz="0" w:space="0" w:color="auto"/>
            <w:bottom w:val="none" w:sz="0" w:space="0" w:color="auto"/>
            <w:right w:val="none" w:sz="0" w:space="0" w:color="auto"/>
          </w:divBdr>
        </w:div>
      </w:divsChild>
    </w:div>
    <w:div w:id="200141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soft\WebOA.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WebOA.dot</Template>
  <TotalTime>73</TotalTime>
  <Pages>1</Pages>
  <Words>791</Words>
  <Characters>4514</Characters>
  <Application>Microsoft Office Word</Application>
  <DocSecurity>0</DocSecurity>
  <Lines>37</Lines>
  <Paragraphs>10</Paragraphs>
  <ScaleCrop>false</ScaleCrop>
  <Company/>
  <LinksUpToDate>false</LinksUpToDate>
  <CharactersWithSpaces>5295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詹荔华</dc:creator>
  <cp:keywords/>
  <dc:description/>
  <cp:lastModifiedBy>PINGAN</cp:lastModifiedBy>
  <cp:revision>27</cp:revision>
  <cp:lastPrinted>2010-07-27T08:59:00Z</cp:lastPrinted>
  <dcterms:created xsi:type="dcterms:W3CDTF">2013-10-21T07:55:00Z</dcterms:created>
  <dcterms:modified xsi:type="dcterms:W3CDTF">2013-11-20T03:16:00Z</dcterms:modified>
</cp:coreProperties>
</file>