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F55D3D">
      <w:pPr>
        <w:autoSpaceDE w:val="0"/>
        <w:autoSpaceDN w:val="0"/>
        <w:adjustRightInd w:val="0"/>
        <w:spacing w:line="360" w:lineRule="auto"/>
        <w:jc w:val="left"/>
        <w:rPr>
          <w:rFonts w:ascii="宋体"/>
          <w:color w:val="000000"/>
          <w:kern w:val="0"/>
          <w:sz w:val="24"/>
          <w:szCs w:val="24"/>
        </w:rPr>
      </w:pPr>
    </w:p>
    <w:p w:rsidR="00750D48" w:rsidRPr="00264E55" w:rsidRDefault="00750D48" w:rsidP="00F55D3D">
      <w:pPr>
        <w:autoSpaceDE w:val="0"/>
        <w:autoSpaceDN w:val="0"/>
        <w:adjustRightInd w:val="0"/>
        <w:spacing w:line="360" w:lineRule="auto"/>
        <w:jc w:val="left"/>
        <w:rPr>
          <w:rFonts w:ascii="宋体"/>
          <w:color w:val="000000"/>
          <w:kern w:val="0"/>
          <w:sz w:val="24"/>
          <w:szCs w:val="24"/>
        </w:rPr>
      </w:pPr>
    </w:p>
    <w:p w:rsidR="00750D48" w:rsidRPr="00264E55" w:rsidRDefault="00750D48" w:rsidP="00F55D3D">
      <w:pPr>
        <w:autoSpaceDE w:val="0"/>
        <w:autoSpaceDN w:val="0"/>
        <w:adjustRightInd w:val="0"/>
        <w:spacing w:line="360" w:lineRule="auto"/>
        <w:jc w:val="left"/>
        <w:rPr>
          <w:rFonts w:ascii="宋体"/>
          <w:color w:val="000000"/>
          <w:kern w:val="0"/>
          <w:sz w:val="24"/>
          <w:szCs w:val="24"/>
        </w:rPr>
      </w:pPr>
    </w:p>
    <w:p w:rsidR="00750D48" w:rsidRPr="00264E55" w:rsidRDefault="00750D48" w:rsidP="00F55D3D">
      <w:pPr>
        <w:autoSpaceDE w:val="0"/>
        <w:autoSpaceDN w:val="0"/>
        <w:adjustRightInd w:val="0"/>
        <w:spacing w:line="360" w:lineRule="auto"/>
        <w:jc w:val="left"/>
        <w:rPr>
          <w:rFonts w:ascii="宋体"/>
          <w:color w:val="000000"/>
          <w:kern w:val="0"/>
          <w:sz w:val="24"/>
          <w:szCs w:val="24"/>
        </w:rPr>
      </w:pPr>
    </w:p>
    <w:p w:rsidR="00750D48" w:rsidRPr="00974AD0" w:rsidRDefault="00750D48" w:rsidP="00F55D3D">
      <w:pPr>
        <w:autoSpaceDE w:val="0"/>
        <w:autoSpaceDN w:val="0"/>
        <w:adjustRightInd w:val="0"/>
        <w:spacing w:line="360" w:lineRule="auto"/>
        <w:jc w:val="left"/>
        <w:rPr>
          <w:rFonts w:ascii="微软雅黑" w:eastAsia="微软雅黑" w:hAnsi="微软雅黑"/>
          <w:color w:val="000000"/>
          <w:kern w:val="0"/>
          <w:sz w:val="24"/>
          <w:szCs w:val="24"/>
        </w:rPr>
      </w:pPr>
    </w:p>
    <w:p w:rsidR="00D71488" w:rsidRDefault="00D71488" w:rsidP="00F55D3D">
      <w:pPr>
        <w:spacing w:line="360" w:lineRule="auto"/>
        <w:jc w:val="center"/>
        <w:rPr>
          <w:rFonts w:ascii="微软雅黑" w:eastAsia="微软雅黑" w:hAnsi="微软雅黑"/>
          <w:b/>
          <w:sz w:val="36"/>
          <w:szCs w:val="36"/>
        </w:rPr>
      </w:pPr>
      <w:r w:rsidRPr="00D71488">
        <w:rPr>
          <w:rFonts w:ascii="微软雅黑" w:eastAsia="微软雅黑" w:hAnsi="微软雅黑" w:hint="eastAsia"/>
          <w:b/>
          <w:sz w:val="36"/>
          <w:szCs w:val="36"/>
        </w:rPr>
        <w:t>平安财富-养老系列B款安康月盈（平衡配置型）</w:t>
      </w:r>
    </w:p>
    <w:p w:rsidR="00D71488" w:rsidRDefault="00D71488" w:rsidP="00F55D3D">
      <w:pPr>
        <w:spacing w:line="360" w:lineRule="auto"/>
        <w:jc w:val="center"/>
        <w:rPr>
          <w:rFonts w:ascii="微软雅黑" w:eastAsia="微软雅黑" w:hAnsi="微软雅黑"/>
          <w:b/>
          <w:sz w:val="36"/>
          <w:szCs w:val="36"/>
        </w:rPr>
      </w:pPr>
      <w:r w:rsidRPr="00D71488">
        <w:rPr>
          <w:rFonts w:ascii="微软雅黑" w:eastAsia="微软雅黑" w:hAnsi="微软雅黑" w:hint="eastAsia"/>
          <w:b/>
          <w:sz w:val="36"/>
          <w:szCs w:val="36"/>
        </w:rPr>
        <w:t>人民币理财产品</w:t>
      </w:r>
    </w:p>
    <w:p w:rsidR="00750D48" w:rsidRPr="00974AD0" w:rsidRDefault="00750D48" w:rsidP="00F55D3D">
      <w:pPr>
        <w:spacing w:line="360" w:lineRule="auto"/>
        <w:jc w:val="center"/>
        <w:rPr>
          <w:rFonts w:ascii="微软雅黑" w:eastAsia="微软雅黑" w:hAnsi="微软雅黑"/>
          <w:b/>
          <w:sz w:val="36"/>
          <w:szCs w:val="36"/>
        </w:rPr>
      </w:pPr>
      <w:r w:rsidRPr="00974AD0">
        <w:rPr>
          <w:rFonts w:ascii="微软雅黑" w:eastAsia="微软雅黑" w:hAnsi="微软雅黑"/>
          <w:b/>
          <w:sz w:val="36"/>
          <w:szCs w:val="36"/>
        </w:rPr>
        <w:t>2017年</w:t>
      </w:r>
      <w:r w:rsidR="00605F2F" w:rsidRPr="00974AD0">
        <w:rPr>
          <w:rFonts w:ascii="微软雅黑" w:eastAsia="微软雅黑" w:hAnsi="微软雅黑" w:hint="eastAsia"/>
          <w:b/>
          <w:sz w:val="36"/>
          <w:szCs w:val="36"/>
        </w:rPr>
        <w:t>年</w:t>
      </w:r>
      <w:r w:rsidR="00605F2F" w:rsidRPr="00974AD0">
        <w:rPr>
          <w:rFonts w:ascii="微软雅黑" w:eastAsia="微软雅黑" w:hAnsi="微软雅黑"/>
          <w:b/>
          <w:sz w:val="36"/>
          <w:szCs w:val="36"/>
        </w:rPr>
        <w:t>度</w:t>
      </w:r>
      <w:r w:rsidRPr="00974AD0">
        <w:rPr>
          <w:rFonts w:ascii="微软雅黑" w:eastAsia="微软雅黑" w:hAnsi="微软雅黑"/>
          <w:b/>
          <w:sz w:val="36"/>
          <w:szCs w:val="36"/>
        </w:rPr>
        <w:t>报告</w:t>
      </w:r>
    </w:p>
    <w:p w:rsidR="00750D48" w:rsidRPr="00974AD0" w:rsidRDefault="00750D48" w:rsidP="00F55D3D">
      <w:pPr>
        <w:spacing w:line="360" w:lineRule="auto"/>
        <w:jc w:val="center"/>
        <w:rPr>
          <w:rFonts w:ascii="微软雅黑" w:eastAsia="微软雅黑" w:hAnsi="微软雅黑"/>
          <w:b/>
          <w:bCs/>
          <w:color w:val="000000"/>
          <w:sz w:val="24"/>
          <w:szCs w:val="24"/>
        </w:rPr>
      </w:pPr>
    </w:p>
    <w:p w:rsidR="00605F2F" w:rsidRPr="00974AD0" w:rsidRDefault="00605F2F" w:rsidP="00F55D3D">
      <w:pPr>
        <w:spacing w:line="360" w:lineRule="auto"/>
        <w:jc w:val="center"/>
        <w:rPr>
          <w:rFonts w:ascii="微软雅黑" w:eastAsia="微软雅黑" w:hAnsi="微软雅黑"/>
          <w:b/>
          <w:bCs/>
          <w:color w:val="000000"/>
          <w:sz w:val="24"/>
          <w:szCs w:val="24"/>
        </w:rPr>
      </w:pPr>
    </w:p>
    <w:p w:rsidR="00750D48" w:rsidRPr="00974AD0" w:rsidRDefault="00750D48" w:rsidP="00F55D3D">
      <w:pPr>
        <w:spacing w:line="360" w:lineRule="auto"/>
        <w:jc w:val="center"/>
        <w:rPr>
          <w:rFonts w:ascii="微软雅黑" w:eastAsia="微软雅黑" w:hAnsi="微软雅黑"/>
          <w:b/>
          <w:bCs/>
          <w:color w:val="000000"/>
          <w:sz w:val="24"/>
          <w:szCs w:val="24"/>
        </w:rPr>
      </w:pPr>
    </w:p>
    <w:p w:rsidR="00750D48" w:rsidRPr="00974AD0" w:rsidRDefault="00750D48" w:rsidP="00F55D3D">
      <w:pPr>
        <w:spacing w:line="360" w:lineRule="auto"/>
        <w:jc w:val="center"/>
        <w:rPr>
          <w:rFonts w:ascii="微软雅黑" w:eastAsia="微软雅黑" w:hAnsi="微软雅黑"/>
          <w:b/>
          <w:bCs/>
          <w:color w:val="000000"/>
          <w:sz w:val="24"/>
          <w:szCs w:val="24"/>
        </w:rPr>
      </w:pPr>
    </w:p>
    <w:p w:rsidR="00750D48" w:rsidRPr="00974AD0" w:rsidRDefault="00750D48" w:rsidP="00F55D3D">
      <w:pPr>
        <w:spacing w:line="360" w:lineRule="auto"/>
        <w:jc w:val="center"/>
        <w:rPr>
          <w:rFonts w:ascii="微软雅黑" w:eastAsia="微软雅黑" w:hAnsi="微软雅黑"/>
          <w:b/>
          <w:bCs/>
          <w:color w:val="000000"/>
          <w:sz w:val="24"/>
          <w:szCs w:val="24"/>
        </w:rPr>
      </w:pPr>
    </w:p>
    <w:p w:rsidR="00750D48" w:rsidRPr="00974AD0" w:rsidRDefault="00750D48" w:rsidP="00F55D3D">
      <w:pPr>
        <w:spacing w:line="360" w:lineRule="auto"/>
        <w:jc w:val="center"/>
        <w:rPr>
          <w:rFonts w:ascii="微软雅黑" w:eastAsia="微软雅黑" w:hAnsi="微软雅黑"/>
          <w:b/>
          <w:bCs/>
          <w:color w:val="000000"/>
          <w:sz w:val="24"/>
          <w:szCs w:val="24"/>
        </w:rPr>
      </w:pPr>
    </w:p>
    <w:p w:rsidR="00750D48" w:rsidRPr="00974AD0" w:rsidRDefault="00750D48" w:rsidP="00F55D3D">
      <w:pPr>
        <w:spacing w:line="360" w:lineRule="auto"/>
        <w:jc w:val="center"/>
        <w:rPr>
          <w:rFonts w:ascii="微软雅黑" w:eastAsia="微软雅黑" w:hAnsi="微软雅黑"/>
          <w:b/>
          <w:bCs/>
          <w:color w:val="000000"/>
          <w:sz w:val="24"/>
          <w:szCs w:val="24"/>
        </w:rPr>
      </w:pPr>
    </w:p>
    <w:p w:rsidR="00750D48" w:rsidRPr="00974AD0" w:rsidRDefault="00750D48" w:rsidP="00F55D3D">
      <w:pPr>
        <w:spacing w:line="360" w:lineRule="auto"/>
        <w:jc w:val="center"/>
        <w:rPr>
          <w:rFonts w:ascii="微软雅黑" w:eastAsia="微软雅黑" w:hAnsi="微软雅黑"/>
          <w:b/>
          <w:bCs/>
          <w:color w:val="000000"/>
          <w:sz w:val="24"/>
          <w:szCs w:val="24"/>
        </w:rPr>
      </w:pPr>
    </w:p>
    <w:p w:rsidR="00750D48" w:rsidRPr="00974AD0" w:rsidRDefault="00750D48" w:rsidP="00F55D3D">
      <w:pPr>
        <w:spacing w:line="360" w:lineRule="auto"/>
        <w:jc w:val="center"/>
        <w:rPr>
          <w:rFonts w:ascii="微软雅黑" w:eastAsia="微软雅黑" w:hAnsi="微软雅黑"/>
          <w:b/>
          <w:bCs/>
          <w:color w:val="000000"/>
          <w:sz w:val="24"/>
          <w:szCs w:val="24"/>
        </w:rPr>
      </w:pPr>
    </w:p>
    <w:p w:rsidR="00750D48" w:rsidRPr="00974AD0" w:rsidRDefault="00750D48" w:rsidP="00F55D3D">
      <w:pPr>
        <w:spacing w:line="360" w:lineRule="auto"/>
        <w:rPr>
          <w:rFonts w:ascii="微软雅黑" w:eastAsia="微软雅黑" w:hAnsi="微软雅黑"/>
          <w:b/>
          <w:bCs/>
          <w:color w:val="000000"/>
          <w:sz w:val="24"/>
          <w:szCs w:val="24"/>
        </w:rPr>
      </w:pPr>
    </w:p>
    <w:p w:rsidR="004D62C0" w:rsidRPr="00974AD0" w:rsidRDefault="004D62C0" w:rsidP="00F55D3D">
      <w:pPr>
        <w:spacing w:line="360" w:lineRule="auto"/>
        <w:ind w:firstLineChars="900" w:firstLine="2160"/>
        <w:rPr>
          <w:rFonts w:ascii="微软雅黑" w:eastAsia="微软雅黑" w:hAnsi="微软雅黑"/>
          <w:b/>
          <w:color w:val="000000"/>
          <w:sz w:val="24"/>
          <w:szCs w:val="24"/>
        </w:rPr>
      </w:pPr>
      <w:r w:rsidRPr="00974AD0">
        <w:rPr>
          <w:rFonts w:ascii="微软雅黑" w:eastAsia="微软雅黑" w:hAnsi="微软雅黑" w:hint="eastAsia"/>
          <w:b/>
          <w:color w:val="000000"/>
          <w:sz w:val="24"/>
          <w:szCs w:val="24"/>
        </w:rPr>
        <w:t>理财管理人：平安银行股份有限公司</w:t>
      </w:r>
    </w:p>
    <w:p w:rsidR="00750D48" w:rsidRPr="00974AD0" w:rsidRDefault="004D62C0" w:rsidP="00F55D3D">
      <w:pPr>
        <w:spacing w:line="360" w:lineRule="auto"/>
        <w:ind w:firstLineChars="900" w:firstLine="2160"/>
        <w:rPr>
          <w:rFonts w:ascii="微软雅黑" w:eastAsia="微软雅黑" w:hAnsi="微软雅黑"/>
          <w:b/>
          <w:color w:val="000000"/>
          <w:sz w:val="24"/>
          <w:szCs w:val="24"/>
        </w:rPr>
      </w:pPr>
      <w:r w:rsidRPr="00974AD0">
        <w:rPr>
          <w:rFonts w:ascii="微软雅黑" w:eastAsia="微软雅黑" w:hAnsi="微软雅黑" w:hint="eastAsia"/>
          <w:b/>
          <w:color w:val="000000"/>
          <w:sz w:val="24"/>
          <w:szCs w:val="24"/>
        </w:rPr>
        <w:t>理财托管人：平安银行股份有限公司</w:t>
      </w:r>
    </w:p>
    <w:p w:rsidR="00750D48" w:rsidRPr="00974AD0" w:rsidRDefault="00750D48" w:rsidP="00F55D3D">
      <w:pPr>
        <w:spacing w:line="360" w:lineRule="auto"/>
        <w:ind w:firstLineChars="900" w:firstLine="2160"/>
        <w:rPr>
          <w:rFonts w:ascii="微软雅黑" w:eastAsia="微软雅黑" w:hAnsi="微软雅黑"/>
          <w:b/>
          <w:color w:val="000000"/>
          <w:sz w:val="24"/>
          <w:szCs w:val="24"/>
        </w:rPr>
        <w:sectPr w:rsidR="00750D48" w:rsidRPr="00974AD0" w:rsidSect="0090488E">
          <w:headerReference w:type="default" r:id="rId9"/>
          <w:footerReference w:type="default" r:id="rId10"/>
          <w:pgSz w:w="11907" w:h="16839" w:code="9"/>
          <w:pgMar w:top="1418" w:right="1418" w:bottom="851" w:left="1418" w:header="851" w:footer="992" w:gutter="0"/>
          <w:cols w:space="720"/>
          <w:noEndnote/>
          <w:docGrid w:linePitch="286"/>
        </w:sectPr>
      </w:pPr>
      <w:r w:rsidRPr="00974AD0">
        <w:rPr>
          <w:rFonts w:ascii="微软雅黑" w:eastAsia="微软雅黑" w:hAnsi="微软雅黑" w:hint="eastAsia"/>
          <w:b/>
          <w:color w:val="000000"/>
          <w:sz w:val="24"/>
          <w:szCs w:val="24"/>
        </w:rPr>
        <w:t>报告送出日期：</w:t>
      </w:r>
      <w:r w:rsidRPr="00974AD0">
        <w:rPr>
          <w:rFonts w:ascii="微软雅黑" w:eastAsia="微软雅黑" w:hAnsi="微软雅黑"/>
          <w:b/>
          <w:color w:val="000000"/>
          <w:sz w:val="24"/>
          <w:szCs w:val="24"/>
        </w:rPr>
        <w:t>二〇一七年</w:t>
      </w:r>
      <w:r w:rsidR="0027502D">
        <w:rPr>
          <w:rFonts w:ascii="微软雅黑" w:eastAsia="微软雅黑" w:hAnsi="微软雅黑" w:hint="eastAsia"/>
          <w:b/>
          <w:color w:val="000000"/>
          <w:sz w:val="24"/>
          <w:szCs w:val="24"/>
        </w:rPr>
        <w:t>十二</w:t>
      </w:r>
      <w:r w:rsidRPr="00974AD0">
        <w:rPr>
          <w:rFonts w:ascii="微软雅黑" w:eastAsia="微软雅黑" w:hAnsi="微软雅黑"/>
          <w:b/>
          <w:color w:val="000000"/>
          <w:sz w:val="24"/>
          <w:szCs w:val="24"/>
        </w:rPr>
        <w:t>月</w:t>
      </w:r>
      <w:r w:rsidR="003D08F6">
        <w:rPr>
          <w:rFonts w:ascii="微软雅黑" w:eastAsia="微软雅黑" w:hAnsi="微软雅黑" w:hint="eastAsia"/>
          <w:b/>
          <w:color w:val="000000"/>
          <w:sz w:val="24"/>
          <w:szCs w:val="24"/>
        </w:rPr>
        <w:t>三十</w:t>
      </w:r>
      <w:r w:rsidR="0027502D">
        <w:rPr>
          <w:rFonts w:ascii="微软雅黑" w:eastAsia="微软雅黑" w:hAnsi="微软雅黑" w:hint="eastAsia"/>
          <w:b/>
          <w:color w:val="000000"/>
          <w:sz w:val="24"/>
          <w:szCs w:val="24"/>
        </w:rPr>
        <w:t>一</w:t>
      </w:r>
      <w:r w:rsidRPr="00974AD0">
        <w:rPr>
          <w:rFonts w:ascii="微软雅黑" w:eastAsia="微软雅黑" w:hAnsi="微软雅黑"/>
          <w:b/>
          <w:color w:val="000000"/>
          <w:sz w:val="24"/>
          <w:szCs w:val="24"/>
        </w:rPr>
        <w:t>日</w:t>
      </w:r>
    </w:p>
    <w:p w:rsidR="00750D48" w:rsidRPr="00974AD0" w:rsidRDefault="00750D48" w:rsidP="004077D2">
      <w:pPr>
        <w:pStyle w:val="1"/>
        <w:spacing w:beforeLines="100" w:before="312" w:afterLines="100" w:after="312" w:line="360" w:lineRule="auto"/>
        <w:jc w:val="center"/>
        <w:rPr>
          <w:rFonts w:ascii="微软雅黑" w:eastAsia="微软雅黑" w:hAnsi="微软雅黑"/>
          <w:b w:val="0"/>
          <w:bCs w:val="0"/>
          <w:color w:val="000000"/>
          <w:kern w:val="0"/>
          <w:sz w:val="28"/>
          <w:szCs w:val="24"/>
        </w:rPr>
      </w:pPr>
      <w:r w:rsidRPr="00974AD0">
        <w:rPr>
          <w:rFonts w:ascii="微软雅黑" w:eastAsia="微软雅黑" w:hAnsi="微软雅黑" w:hint="eastAsia"/>
          <w:color w:val="000000"/>
          <w:kern w:val="0"/>
          <w:sz w:val="28"/>
          <w:szCs w:val="24"/>
        </w:rPr>
        <w:lastRenderedPageBreak/>
        <w:t>§</w:t>
      </w:r>
      <w:r w:rsidRPr="00974AD0">
        <w:rPr>
          <w:rFonts w:ascii="微软雅黑" w:eastAsia="微软雅黑" w:hAnsi="微软雅黑"/>
          <w:color w:val="000000"/>
          <w:kern w:val="0"/>
          <w:sz w:val="28"/>
          <w:szCs w:val="24"/>
        </w:rPr>
        <w:t xml:space="preserve">1  </w:t>
      </w:r>
      <w:r w:rsidRPr="00974AD0">
        <w:rPr>
          <w:rFonts w:ascii="微软雅黑" w:eastAsia="微软雅黑" w:hAnsi="微软雅黑" w:hint="eastAsia"/>
          <w:color w:val="000000"/>
          <w:kern w:val="0"/>
          <w:sz w:val="28"/>
          <w:szCs w:val="24"/>
        </w:rPr>
        <w:t>重要提示</w:t>
      </w:r>
    </w:p>
    <w:p w:rsidR="004D62C0" w:rsidRPr="00974AD0" w:rsidRDefault="004D62C0" w:rsidP="00F55D3D">
      <w:pPr>
        <w:spacing w:line="360" w:lineRule="auto"/>
        <w:ind w:firstLineChars="200" w:firstLine="480"/>
        <w:rPr>
          <w:rFonts w:ascii="微软雅黑" w:eastAsia="微软雅黑" w:hAnsi="微软雅黑"/>
          <w:sz w:val="24"/>
          <w:szCs w:val="28"/>
        </w:rPr>
      </w:pPr>
      <w:r w:rsidRPr="00974AD0">
        <w:rPr>
          <w:rFonts w:ascii="微软雅黑" w:eastAsia="微软雅黑" w:hAnsi="微软雅黑" w:hint="eastAsia"/>
          <w:sz w:val="24"/>
          <w:szCs w:val="28"/>
        </w:rPr>
        <w:t xml:space="preserve">理财管理人承诺以诚实信用、勤勉尽责的原则管理和运用理财资产，但不保证理财一定盈利。 </w:t>
      </w:r>
    </w:p>
    <w:p w:rsidR="004D62C0" w:rsidRPr="00974AD0" w:rsidRDefault="004D62C0" w:rsidP="00F55D3D">
      <w:pPr>
        <w:spacing w:line="360" w:lineRule="auto"/>
        <w:ind w:firstLineChars="200" w:firstLine="480"/>
        <w:rPr>
          <w:rFonts w:ascii="微软雅黑" w:eastAsia="微软雅黑" w:hAnsi="微软雅黑"/>
          <w:sz w:val="24"/>
          <w:szCs w:val="28"/>
        </w:rPr>
      </w:pPr>
      <w:r w:rsidRPr="00974AD0">
        <w:rPr>
          <w:rFonts w:ascii="微软雅黑" w:eastAsia="微软雅黑" w:hAnsi="微软雅黑" w:hint="eastAsia"/>
          <w:sz w:val="24"/>
          <w:szCs w:val="28"/>
        </w:rPr>
        <w:t>理财的过往业绩并不代表其未来表现。投资有风险，投资者在</w:t>
      </w:r>
      <w:r w:rsidR="00974AD0">
        <w:rPr>
          <w:rFonts w:ascii="微软雅黑" w:eastAsia="微软雅黑" w:hAnsi="微软雅黑" w:hint="eastAsia"/>
          <w:sz w:val="24"/>
          <w:szCs w:val="28"/>
        </w:rPr>
        <w:t>做出</w:t>
      </w:r>
      <w:r w:rsidRPr="00974AD0">
        <w:rPr>
          <w:rFonts w:ascii="微软雅黑" w:eastAsia="微软雅黑" w:hAnsi="微软雅黑" w:hint="eastAsia"/>
          <w:sz w:val="24"/>
          <w:szCs w:val="28"/>
        </w:rPr>
        <w:t xml:space="preserve">投资决策前应仔细阅读本理财的产品说明书。 </w:t>
      </w:r>
    </w:p>
    <w:p w:rsidR="004D62C0" w:rsidRPr="00974AD0" w:rsidRDefault="004D62C0" w:rsidP="00F55D3D">
      <w:pPr>
        <w:spacing w:line="360" w:lineRule="auto"/>
        <w:ind w:firstLineChars="200" w:firstLine="480"/>
        <w:rPr>
          <w:rFonts w:ascii="微软雅黑" w:eastAsia="微软雅黑" w:hAnsi="微软雅黑"/>
          <w:sz w:val="24"/>
          <w:szCs w:val="28"/>
        </w:rPr>
      </w:pPr>
      <w:r w:rsidRPr="00974AD0">
        <w:rPr>
          <w:rFonts w:ascii="微软雅黑" w:eastAsia="微软雅黑" w:hAnsi="微软雅黑" w:hint="eastAsia"/>
          <w:sz w:val="24"/>
          <w:szCs w:val="28"/>
        </w:rPr>
        <w:t xml:space="preserve">本报告中财务资料未经审计。 </w:t>
      </w:r>
    </w:p>
    <w:p w:rsidR="00750D48" w:rsidRPr="00974AD0" w:rsidRDefault="004D62C0" w:rsidP="00F55D3D">
      <w:pPr>
        <w:spacing w:line="360" w:lineRule="auto"/>
        <w:ind w:firstLineChars="200" w:firstLine="480"/>
        <w:rPr>
          <w:rFonts w:ascii="微软雅黑" w:eastAsia="微软雅黑" w:hAnsi="微软雅黑"/>
          <w:sz w:val="24"/>
          <w:szCs w:val="28"/>
        </w:rPr>
      </w:pPr>
      <w:r w:rsidRPr="00974AD0">
        <w:rPr>
          <w:rFonts w:ascii="微软雅黑" w:eastAsia="微软雅黑" w:hAnsi="微软雅黑" w:hint="eastAsia"/>
          <w:sz w:val="24"/>
          <w:szCs w:val="28"/>
        </w:rPr>
        <w:t>本报告期自2017年</w:t>
      </w:r>
      <w:r w:rsidR="00605F2F" w:rsidRPr="00974AD0">
        <w:rPr>
          <w:rFonts w:ascii="微软雅黑" w:eastAsia="微软雅黑" w:hAnsi="微软雅黑"/>
          <w:sz w:val="24"/>
          <w:szCs w:val="28"/>
        </w:rPr>
        <w:t>1</w:t>
      </w:r>
      <w:r w:rsidRPr="00974AD0">
        <w:rPr>
          <w:rFonts w:ascii="微软雅黑" w:eastAsia="微软雅黑" w:hAnsi="微软雅黑" w:hint="eastAsia"/>
          <w:sz w:val="24"/>
          <w:szCs w:val="28"/>
        </w:rPr>
        <w:t>月1日起至</w:t>
      </w:r>
      <w:r w:rsidR="0027502D">
        <w:rPr>
          <w:rFonts w:ascii="微软雅黑" w:eastAsia="微软雅黑" w:hAnsi="微软雅黑"/>
          <w:sz w:val="24"/>
          <w:szCs w:val="28"/>
        </w:rPr>
        <w:t>12</w:t>
      </w:r>
      <w:r w:rsidRPr="00974AD0">
        <w:rPr>
          <w:rFonts w:ascii="微软雅黑" w:eastAsia="微软雅黑" w:hAnsi="微软雅黑" w:hint="eastAsia"/>
          <w:sz w:val="24"/>
          <w:szCs w:val="28"/>
        </w:rPr>
        <w:t>月</w:t>
      </w:r>
      <w:r w:rsidR="0027502D">
        <w:rPr>
          <w:rFonts w:ascii="微软雅黑" w:eastAsia="微软雅黑" w:hAnsi="微软雅黑"/>
          <w:sz w:val="24"/>
          <w:szCs w:val="28"/>
        </w:rPr>
        <w:t>31</w:t>
      </w:r>
      <w:r w:rsidRPr="00974AD0">
        <w:rPr>
          <w:rFonts w:ascii="微软雅黑" w:eastAsia="微软雅黑" w:hAnsi="微软雅黑" w:hint="eastAsia"/>
          <w:sz w:val="24"/>
          <w:szCs w:val="28"/>
        </w:rPr>
        <w:t>日止。</w:t>
      </w:r>
    </w:p>
    <w:p w:rsidR="00750D48" w:rsidRPr="00974AD0" w:rsidRDefault="00750D48" w:rsidP="004077D2">
      <w:pPr>
        <w:pStyle w:val="1"/>
        <w:spacing w:beforeLines="100" w:before="312" w:afterLines="100" w:after="312" w:line="360" w:lineRule="auto"/>
        <w:jc w:val="center"/>
        <w:rPr>
          <w:rFonts w:ascii="微软雅黑" w:eastAsia="微软雅黑" w:hAnsi="微软雅黑"/>
          <w:color w:val="000000"/>
          <w:kern w:val="0"/>
          <w:sz w:val="28"/>
          <w:szCs w:val="24"/>
        </w:rPr>
      </w:pPr>
      <w:r w:rsidRPr="00974AD0">
        <w:rPr>
          <w:rFonts w:ascii="微软雅黑" w:eastAsia="微软雅黑" w:hAnsi="微软雅黑" w:hint="eastAsia"/>
          <w:color w:val="000000"/>
          <w:kern w:val="0"/>
          <w:sz w:val="28"/>
          <w:szCs w:val="24"/>
        </w:rPr>
        <w:t>§</w:t>
      </w:r>
      <w:r w:rsidRPr="00974AD0">
        <w:rPr>
          <w:rFonts w:ascii="微软雅黑" w:eastAsia="微软雅黑" w:hAnsi="微软雅黑"/>
          <w:color w:val="000000"/>
          <w:kern w:val="0"/>
          <w:sz w:val="28"/>
          <w:szCs w:val="24"/>
        </w:rPr>
        <w:t xml:space="preserve">2  </w:t>
      </w:r>
      <w:r w:rsidRPr="00974AD0">
        <w:rPr>
          <w:rFonts w:ascii="微软雅黑" w:eastAsia="微软雅黑" w:hAnsi="微软雅黑" w:hint="eastAsia"/>
          <w:color w:val="000000"/>
          <w:kern w:val="0"/>
          <w:sz w:val="28"/>
          <w:szCs w:val="24"/>
        </w:rPr>
        <w:t>产品概况</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8"/>
        <w:gridCol w:w="6532"/>
      </w:tblGrid>
      <w:tr w:rsidR="00D71488" w:rsidRPr="00974AD0" w:rsidTr="00D71488">
        <w:trPr>
          <w:trHeight w:val="255"/>
        </w:trPr>
        <w:tc>
          <w:tcPr>
            <w:tcW w:w="2468" w:type="dxa"/>
          </w:tcPr>
          <w:p w:rsidR="00D71488" w:rsidRPr="00D71488" w:rsidRDefault="00D71488" w:rsidP="00F55D3D">
            <w:pPr>
              <w:spacing w:line="360" w:lineRule="auto"/>
              <w:rPr>
                <w:rFonts w:ascii="微软雅黑" w:eastAsia="微软雅黑" w:hAnsi="微软雅黑"/>
                <w:sz w:val="24"/>
                <w:szCs w:val="28"/>
              </w:rPr>
            </w:pPr>
            <w:r w:rsidRPr="00D71488">
              <w:rPr>
                <w:rFonts w:ascii="微软雅黑" w:eastAsia="微软雅黑" w:hAnsi="微软雅黑" w:hint="eastAsia"/>
                <w:sz w:val="24"/>
                <w:szCs w:val="28"/>
              </w:rPr>
              <w:t>产品名称</w:t>
            </w:r>
          </w:p>
        </w:tc>
        <w:tc>
          <w:tcPr>
            <w:tcW w:w="6532" w:type="dxa"/>
          </w:tcPr>
          <w:p w:rsidR="00D71488" w:rsidRPr="00D71488" w:rsidRDefault="00D71488" w:rsidP="00F55D3D">
            <w:pPr>
              <w:spacing w:line="360" w:lineRule="auto"/>
              <w:rPr>
                <w:rFonts w:ascii="微软雅黑" w:eastAsia="微软雅黑" w:hAnsi="微软雅黑"/>
                <w:sz w:val="24"/>
                <w:szCs w:val="28"/>
              </w:rPr>
            </w:pPr>
            <w:r w:rsidRPr="00D71488">
              <w:rPr>
                <w:rFonts w:ascii="微软雅黑" w:eastAsia="微软雅黑" w:hAnsi="微软雅黑" w:hint="eastAsia"/>
                <w:sz w:val="24"/>
                <w:szCs w:val="28"/>
              </w:rPr>
              <w:t>平安财富-养老系列B款安康月盈（平衡配置型）人民币理财产品</w:t>
            </w:r>
          </w:p>
        </w:tc>
      </w:tr>
      <w:tr w:rsidR="00D71488" w:rsidRPr="00974AD0" w:rsidTr="00D71488">
        <w:trPr>
          <w:trHeight w:val="99"/>
        </w:trPr>
        <w:tc>
          <w:tcPr>
            <w:tcW w:w="2468" w:type="dxa"/>
          </w:tcPr>
          <w:p w:rsidR="00D71488" w:rsidRPr="00D71488" w:rsidRDefault="00D71488" w:rsidP="00F55D3D">
            <w:pPr>
              <w:spacing w:line="360" w:lineRule="auto"/>
              <w:rPr>
                <w:rFonts w:ascii="微软雅黑" w:eastAsia="微软雅黑" w:hAnsi="微软雅黑"/>
                <w:sz w:val="24"/>
                <w:szCs w:val="28"/>
              </w:rPr>
            </w:pPr>
            <w:r w:rsidRPr="00D71488">
              <w:rPr>
                <w:rFonts w:ascii="微软雅黑" w:eastAsia="微软雅黑" w:hAnsi="微软雅黑" w:hint="eastAsia"/>
                <w:sz w:val="24"/>
                <w:szCs w:val="28"/>
              </w:rPr>
              <w:t>登记编码</w:t>
            </w:r>
          </w:p>
        </w:tc>
        <w:tc>
          <w:tcPr>
            <w:tcW w:w="6532" w:type="dxa"/>
          </w:tcPr>
          <w:p w:rsidR="00D71488" w:rsidRPr="00D71488" w:rsidRDefault="00D71488" w:rsidP="00F55D3D">
            <w:pPr>
              <w:spacing w:line="360" w:lineRule="auto"/>
              <w:rPr>
                <w:rFonts w:ascii="微软雅黑" w:eastAsia="微软雅黑" w:hAnsi="微软雅黑"/>
                <w:sz w:val="24"/>
                <w:szCs w:val="28"/>
              </w:rPr>
            </w:pPr>
            <w:r w:rsidRPr="00D71488">
              <w:rPr>
                <w:rFonts w:ascii="微软雅黑" w:eastAsia="微软雅黑" w:hAnsi="微软雅黑" w:hint="eastAsia"/>
                <w:sz w:val="24"/>
                <w:szCs w:val="28"/>
              </w:rPr>
              <w:t>登记编码是C1030716000974,客户可依据该编码在“中国理财网（www.chinawealth.com.cn）”查询该产品信息</w:t>
            </w:r>
          </w:p>
        </w:tc>
      </w:tr>
      <w:tr w:rsidR="00D71488" w:rsidRPr="00974AD0" w:rsidTr="00D71488">
        <w:trPr>
          <w:trHeight w:val="99"/>
        </w:trPr>
        <w:tc>
          <w:tcPr>
            <w:tcW w:w="2468" w:type="dxa"/>
          </w:tcPr>
          <w:p w:rsidR="00D71488" w:rsidRPr="00D71488" w:rsidRDefault="00D71488" w:rsidP="00F55D3D">
            <w:pPr>
              <w:spacing w:line="360" w:lineRule="auto"/>
              <w:rPr>
                <w:rFonts w:ascii="微软雅黑" w:eastAsia="微软雅黑" w:hAnsi="微软雅黑"/>
                <w:sz w:val="24"/>
                <w:szCs w:val="28"/>
              </w:rPr>
            </w:pPr>
            <w:r w:rsidRPr="00D71488">
              <w:rPr>
                <w:rFonts w:ascii="微软雅黑" w:eastAsia="微软雅黑" w:hAnsi="微软雅黑" w:hint="eastAsia"/>
                <w:sz w:val="24"/>
                <w:szCs w:val="28"/>
              </w:rPr>
              <w:t>运作方式</w:t>
            </w:r>
          </w:p>
        </w:tc>
        <w:tc>
          <w:tcPr>
            <w:tcW w:w="6532" w:type="dxa"/>
          </w:tcPr>
          <w:p w:rsidR="00D71488" w:rsidRPr="00D71488" w:rsidRDefault="00D71488" w:rsidP="00F55D3D">
            <w:pPr>
              <w:spacing w:line="360" w:lineRule="auto"/>
              <w:rPr>
                <w:rFonts w:ascii="微软雅黑" w:eastAsia="微软雅黑" w:hAnsi="微软雅黑"/>
                <w:sz w:val="24"/>
                <w:szCs w:val="28"/>
              </w:rPr>
            </w:pPr>
            <w:r w:rsidRPr="00D71488">
              <w:rPr>
                <w:rFonts w:ascii="微软雅黑" w:eastAsia="微软雅黑" w:hAnsi="微软雅黑" w:hint="eastAsia"/>
                <w:sz w:val="24"/>
                <w:szCs w:val="28"/>
              </w:rPr>
              <w:t>开放式净值型(封闭期六个月后，每月开放一次)</w:t>
            </w:r>
          </w:p>
        </w:tc>
      </w:tr>
      <w:tr w:rsidR="00D71488" w:rsidRPr="00974AD0" w:rsidTr="00D71488">
        <w:trPr>
          <w:trHeight w:val="104"/>
        </w:trPr>
        <w:tc>
          <w:tcPr>
            <w:tcW w:w="2468" w:type="dxa"/>
          </w:tcPr>
          <w:p w:rsidR="00D71488" w:rsidRPr="00D71488" w:rsidRDefault="00D71488" w:rsidP="00F55D3D">
            <w:pPr>
              <w:spacing w:line="360" w:lineRule="auto"/>
              <w:rPr>
                <w:rFonts w:ascii="微软雅黑" w:eastAsia="微软雅黑" w:hAnsi="微软雅黑"/>
                <w:sz w:val="24"/>
                <w:szCs w:val="28"/>
              </w:rPr>
            </w:pPr>
            <w:r w:rsidRPr="00D71488">
              <w:rPr>
                <w:rFonts w:ascii="微软雅黑" w:eastAsia="微软雅黑" w:hAnsi="微软雅黑" w:hint="eastAsia"/>
                <w:sz w:val="24"/>
                <w:szCs w:val="28"/>
              </w:rPr>
              <w:t>产品存续期</w:t>
            </w:r>
          </w:p>
        </w:tc>
        <w:tc>
          <w:tcPr>
            <w:tcW w:w="6532" w:type="dxa"/>
          </w:tcPr>
          <w:p w:rsidR="00D71488" w:rsidRPr="00D71488" w:rsidRDefault="00D71488" w:rsidP="00F55D3D">
            <w:pPr>
              <w:spacing w:line="360" w:lineRule="auto"/>
              <w:rPr>
                <w:rFonts w:ascii="微软雅黑" w:eastAsia="微软雅黑" w:hAnsi="微软雅黑"/>
                <w:sz w:val="24"/>
                <w:szCs w:val="28"/>
              </w:rPr>
            </w:pPr>
            <w:r w:rsidRPr="00D71488">
              <w:rPr>
                <w:rFonts w:ascii="微软雅黑" w:eastAsia="微软雅黑" w:hAnsi="微软雅黑" w:hint="eastAsia"/>
                <w:sz w:val="24"/>
                <w:szCs w:val="28"/>
              </w:rPr>
              <w:t>本理财产品无固定期限，平安银行有权提前终止本理财产品。实际产品到期日受制于提前终止和延期终止条款。</w:t>
            </w:r>
          </w:p>
        </w:tc>
      </w:tr>
      <w:tr w:rsidR="00D71488" w:rsidRPr="00974AD0" w:rsidTr="00D71488">
        <w:trPr>
          <w:trHeight w:val="99"/>
        </w:trPr>
        <w:tc>
          <w:tcPr>
            <w:tcW w:w="2468" w:type="dxa"/>
          </w:tcPr>
          <w:p w:rsidR="00D71488" w:rsidRPr="00D71488" w:rsidRDefault="00D71488" w:rsidP="00F55D3D">
            <w:pPr>
              <w:spacing w:line="360" w:lineRule="auto"/>
              <w:rPr>
                <w:rFonts w:ascii="微软雅黑" w:eastAsia="微软雅黑" w:hAnsi="微软雅黑"/>
                <w:sz w:val="24"/>
                <w:szCs w:val="28"/>
              </w:rPr>
            </w:pPr>
            <w:r w:rsidRPr="00D71488">
              <w:rPr>
                <w:rFonts w:ascii="微软雅黑" w:eastAsia="微软雅黑" w:hAnsi="微软雅黑" w:hint="eastAsia"/>
                <w:sz w:val="24"/>
                <w:szCs w:val="28"/>
              </w:rPr>
              <w:t>报告期末份额总额</w:t>
            </w:r>
          </w:p>
        </w:tc>
        <w:tc>
          <w:tcPr>
            <w:tcW w:w="6532" w:type="dxa"/>
          </w:tcPr>
          <w:p w:rsidR="00D71488" w:rsidRPr="00D71488" w:rsidRDefault="0027502D" w:rsidP="00F55D3D">
            <w:pPr>
              <w:spacing w:line="360" w:lineRule="auto"/>
              <w:rPr>
                <w:rFonts w:ascii="微软雅黑" w:eastAsia="微软雅黑" w:hAnsi="微软雅黑"/>
                <w:sz w:val="24"/>
                <w:szCs w:val="28"/>
              </w:rPr>
            </w:pPr>
            <w:r>
              <w:rPr>
                <w:rFonts w:ascii="微软雅黑" w:eastAsia="微软雅黑" w:hAnsi="微软雅黑"/>
                <w:sz w:val="24"/>
                <w:szCs w:val="28"/>
              </w:rPr>
              <w:t>1290668000</w:t>
            </w:r>
            <w:r w:rsidR="00D71488" w:rsidRPr="00D71488">
              <w:rPr>
                <w:rFonts w:ascii="微软雅黑" w:eastAsia="微软雅黑" w:hAnsi="微软雅黑" w:hint="eastAsia"/>
                <w:sz w:val="24"/>
                <w:szCs w:val="28"/>
              </w:rPr>
              <w:t>份</w:t>
            </w:r>
          </w:p>
        </w:tc>
      </w:tr>
      <w:tr w:rsidR="00D71488" w:rsidRPr="00974AD0" w:rsidTr="00D71488">
        <w:trPr>
          <w:trHeight w:val="255"/>
        </w:trPr>
        <w:tc>
          <w:tcPr>
            <w:tcW w:w="2468" w:type="dxa"/>
          </w:tcPr>
          <w:p w:rsidR="00D71488" w:rsidRPr="00D71488" w:rsidRDefault="00D71488" w:rsidP="00F55D3D">
            <w:pPr>
              <w:spacing w:line="360" w:lineRule="auto"/>
              <w:ind w:firstLineChars="200" w:firstLine="480"/>
              <w:rPr>
                <w:rFonts w:ascii="微软雅黑" w:eastAsia="微软雅黑" w:hAnsi="微软雅黑"/>
                <w:sz w:val="24"/>
                <w:szCs w:val="28"/>
              </w:rPr>
            </w:pPr>
            <w:r w:rsidRPr="00D71488">
              <w:rPr>
                <w:rFonts w:ascii="微软雅黑" w:eastAsia="微软雅黑" w:hAnsi="微软雅黑" w:hint="eastAsia"/>
                <w:sz w:val="24"/>
                <w:szCs w:val="28"/>
              </w:rPr>
              <w:t>产品风险等级</w:t>
            </w:r>
          </w:p>
        </w:tc>
        <w:tc>
          <w:tcPr>
            <w:tcW w:w="6532" w:type="dxa"/>
          </w:tcPr>
          <w:p w:rsidR="00D71488" w:rsidRPr="00D71488" w:rsidRDefault="00D71488" w:rsidP="00F55D3D">
            <w:pPr>
              <w:spacing w:line="360" w:lineRule="auto"/>
              <w:rPr>
                <w:rFonts w:ascii="微软雅黑" w:eastAsia="微软雅黑" w:hAnsi="微软雅黑"/>
                <w:sz w:val="24"/>
                <w:szCs w:val="28"/>
              </w:rPr>
            </w:pPr>
            <w:r w:rsidRPr="00D71488">
              <w:rPr>
                <w:rFonts w:ascii="微软雅黑" w:eastAsia="微软雅黑" w:hAnsi="微软雅黑" w:hint="eastAsia"/>
                <w:sz w:val="24"/>
                <w:szCs w:val="28"/>
              </w:rPr>
              <w:t>本产品具有三级（中）风险，在控制风险的前提下，力争为投资者提供稳定的收益。</w:t>
            </w:r>
          </w:p>
        </w:tc>
      </w:tr>
      <w:tr w:rsidR="00D71488" w:rsidRPr="00974AD0" w:rsidTr="00D71488">
        <w:trPr>
          <w:trHeight w:val="99"/>
        </w:trPr>
        <w:tc>
          <w:tcPr>
            <w:tcW w:w="2468" w:type="dxa"/>
          </w:tcPr>
          <w:p w:rsidR="00D71488" w:rsidRPr="00D71488" w:rsidRDefault="00D71488" w:rsidP="00F55D3D">
            <w:pPr>
              <w:spacing w:line="360" w:lineRule="auto"/>
              <w:ind w:firstLineChars="200" w:firstLine="480"/>
              <w:rPr>
                <w:rFonts w:ascii="微软雅黑" w:eastAsia="微软雅黑" w:hAnsi="微软雅黑"/>
                <w:sz w:val="24"/>
                <w:szCs w:val="28"/>
              </w:rPr>
            </w:pPr>
            <w:r w:rsidRPr="00D71488">
              <w:rPr>
                <w:rFonts w:ascii="微软雅黑" w:eastAsia="微软雅黑" w:hAnsi="微软雅黑" w:hint="eastAsia"/>
                <w:sz w:val="24"/>
                <w:szCs w:val="28"/>
              </w:rPr>
              <w:t>投资种类及比例</w:t>
            </w:r>
          </w:p>
        </w:tc>
        <w:tc>
          <w:tcPr>
            <w:tcW w:w="6532" w:type="dxa"/>
          </w:tcPr>
          <w:p w:rsidR="00D71488" w:rsidRPr="00D71488" w:rsidRDefault="00D71488" w:rsidP="00F55D3D">
            <w:pPr>
              <w:spacing w:line="360" w:lineRule="auto"/>
              <w:rPr>
                <w:rFonts w:ascii="微软雅黑" w:eastAsia="微软雅黑" w:hAnsi="微软雅黑"/>
                <w:sz w:val="24"/>
                <w:szCs w:val="28"/>
              </w:rPr>
            </w:pPr>
            <w:r w:rsidRPr="00D71488">
              <w:rPr>
                <w:rFonts w:ascii="微软雅黑" w:eastAsia="微软雅黑" w:hAnsi="微软雅黑" w:hint="eastAsia"/>
                <w:sz w:val="24"/>
                <w:szCs w:val="28"/>
              </w:rPr>
              <w:t>10%-100%固定收益类资产，0%-30%权益类资产，0%-90%其他资产或资产组合</w:t>
            </w:r>
          </w:p>
        </w:tc>
      </w:tr>
    </w:tbl>
    <w:p w:rsidR="00750D48" w:rsidRPr="00974AD0" w:rsidRDefault="00750D48" w:rsidP="004077D2">
      <w:pPr>
        <w:pStyle w:val="1"/>
        <w:spacing w:beforeLines="100" w:before="312" w:afterLines="100" w:after="312" w:line="360" w:lineRule="auto"/>
        <w:jc w:val="center"/>
        <w:rPr>
          <w:rFonts w:ascii="微软雅黑" w:eastAsia="微软雅黑" w:hAnsi="微软雅黑"/>
          <w:color w:val="000000"/>
          <w:kern w:val="0"/>
          <w:sz w:val="28"/>
          <w:szCs w:val="24"/>
        </w:rPr>
      </w:pPr>
      <w:r w:rsidRPr="00974AD0">
        <w:rPr>
          <w:rFonts w:ascii="微软雅黑" w:eastAsia="微软雅黑" w:hAnsi="微软雅黑" w:hint="eastAsia"/>
          <w:color w:val="000000"/>
          <w:kern w:val="0"/>
          <w:sz w:val="28"/>
          <w:szCs w:val="24"/>
        </w:rPr>
        <w:lastRenderedPageBreak/>
        <w:t>§</w:t>
      </w:r>
      <w:r w:rsidRPr="00974AD0">
        <w:rPr>
          <w:rFonts w:ascii="微软雅黑" w:eastAsia="微软雅黑" w:hAnsi="微软雅黑"/>
          <w:color w:val="000000"/>
          <w:kern w:val="0"/>
          <w:sz w:val="28"/>
          <w:szCs w:val="24"/>
        </w:rPr>
        <w:t xml:space="preserve">3  </w:t>
      </w:r>
      <w:r w:rsidR="00974AD0" w:rsidRPr="00974AD0">
        <w:rPr>
          <w:rFonts w:ascii="微软雅黑" w:eastAsia="微软雅黑" w:hAnsi="微软雅黑" w:hint="eastAsia"/>
          <w:color w:val="000000"/>
          <w:kern w:val="0"/>
          <w:sz w:val="28"/>
          <w:szCs w:val="24"/>
        </w:rPr>
        <w:t>规模财务</w:t>
      </w:r>
      <w:r w:rsidR="00974AD0" w:rsidRPr="00974AD0">
        <w:rPr>
          <w:rFonts w:ascii="微软雅黑" w:eastAsia="微软雅黑" w:hAnsi="微软雅黑"/>
          <w:color w:val="000000"/>
          <w:kern w:val="0"/>
          <w:sz w:val="28"/>
          <w:szCs w:val="24"/>
        </w:rPr>
        <w:t>指标</w:t>
      </w:r>
      <w:r w:rsidRPr="00974AD0">
        <w:rPr>
          <w:rFonts w:ascii="微软雅黑" w:eastAsia="微软雅黑" w:hAnsi="微软雅黑" w:hint="eastAsia"/>
          <w:color w:val="000000"/>
          <w:kern w:val="0"/>
          <w:sz w:val="28"/>
          <w:szCs w:val="24"/>
        </w:rPr>
        <w:t>和净值表现</w:t>
      </w:r>
    </w:p>
    <w:p w:rsidR="00750D48" w:rsidRPr="00974AD0" w:rsidRDefault="00750D48" w:rsidP="00F55D3D">
      <w:pPr>
        <w:autoSpaceDE w:val="0"/>
        <w:autoSpaceDN w:val="0"/>
        <w:adjustRightInd w:val="0"/>
        <w:spacing w:line="360" w:lineRule="auto"/>
        <w:jc w:val="left"/>
        <w:rPr>
          <w:rFonts w:ascii="微软雅黑" w:eastAsia="微软雅黑" w:hAnsi="微软雅黑"/>
          <w:b/>
          <w:bCs/>
          <w:color w:val="000000"/>
          <w:kern w:val="0"/>
          <w:sz w:val="24"/>
          <w:szCs w:val="24"/>
        </w:rPr>
      </w:pPr>
      <w:r w:rsidRPr="00974AD0">
        <w:rPr>
          <w:rFonts w:ascii="微软雅黑" w:eastAsia="微软雅黑" w:hAnsi="微软雅黑"/>
          <w:b/>
          <w:bCs/>
          <w:color w:val="000000"/>
          <w:kern w:val="0"/>
          <w:sz w:val="24"/>
          <w:szCs w:val="24"/>
        </w:rPr>
        <w:t xml:space="preserve">3.1 </w:t>
      </w:r>
      <w:r w:rsidRPr="00974AD0">
        <w:rPr>
          <w:rFonts w:ascii="微软雅黑" w:eastAsia="微软雅黑" w:hAnsi="微软雅黑" w:hint="eastAsia"/>
          <w:b/>
          <w:bCs/>
          <w:color w:val="000000"/>
          <w:kern w:val="0"/>
          <w:sz w:val="24"/>
          <w:szCs w:val="24"/>
        </w:rPr>
        <w:t>主要财务指标</w:t>
      </w:r>
    </w:p>
    <w:p w:rsidR="004D62C0" w:rsidRPr="00974AD0" w:rsidRDefault="00750D48" w:rsidP="00F55D3D">
      <w:pPr>
        <w:autoSpaceDE w:val="0"/>
        <w:autoSpaceDN w:val="0"/>
        <w:adjustRightInd w:val="0"/>
        <w:spacing w:before="29" w:line="360" w:lineRule="auto"/>
        <w:ind w:left="15"/>
        <w:jc w:val="right"/>
        <w:rPr>
          <w:rFonts w:ascii="微软雅黑" w:eastAsia="微软雅黑" w:hAnsi="微软雅黑"/>
          <w:color w:val="000000"/>
          <w:kern w:val="0"/>
          <w:sz w:val="24"/>
          <w:szCs w:val="24"/>
        </w:rPr>
      </w:pPr>
      <w:r w:rsidRPr="00974AD0">
        <w:rPr>
          <w:rFonts w:ascii="微软雅黑" w:eastAsia="微软雅黑" w:hAnsi="微软雅黑" w:cs="宋体" w:hint="eastAsia"/>
          <w:color w:val="000000"/>
          <w:kern w:val="0"/>
          <w:sz w:val="24"/>
          <w:szCs w:val="24"/>
        </w:rPr>
        <w:t>单位：人民币元</w:t>
      </w:r>
    </w:p>
    <w:tbl>
      <w:tblPr>
        <w:tblW w:w="104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955"/>
        <w:gridCol w:w="1872"/>
        <w:gridCol w:w="2182"/>
        <w:gridCol w:w="2076"/>
      </w:tblGrid>
      <w:tr w:rsidR="004D62C0" w:rsidRPr="00974AD0" w:rsidTr="0027502D">
        <w:trPr>
          <w:trHeight w:val="255"/>
        </w:trPr>
        <w:tc>
          <w:tcPr>
            <w:tcW w:w="2411" w:type="dxa"/>
            <w:shd w:val="clear" w:color="auto" w:fill="BFBFBF" w:themeFill="background1" w:themeFillShade="BF"/>
          </w:tcPr>
          <w:p w:rsidR="004D62C0" w:rsidRPr="00974AD0" w:rsidRDefault="004D62C0" w:rsidP="00F55D3D">
            <w:pPr>
              <w:spacing w:line="360" w:lineRule="auto"/>
              <w:rPr>
                <w:rFonts w:ascii="微软雅黑" w:eastAsia="微软雅黑" w:hAnsi="微软雅黑"/>
                <w:color w:val="000000"/>
                <w:sz w:val="24"/>
                <w:szCs w:val="24"/>
              </w:rPr>
            </w:pPr>
            <w:r w:rsidRPr="00974AD0">
              <w:rPr>
                <w:rFonts w:ascii="微软雅黑" w:eastAsia="微软雅黑" w:hAnsi="微软雅黑" w:hint="eastAsia"/>
                <w:color w:val="000000"/>
                <w:sz w:val="24"/>
                <w:szCs w:val="24"/>
              </w:rPr>
              <w:t>主要财务指标</w:t>
            </w:r>
          </w:p>
        </w:tc>
        <w:tc>
          <w:tcPr>
            <w:tcW w:w="1955" w:type="dxa"/>
            <w:shd w:val="clear" w:color="auto" w:fill="BFBFBF" w:themeFill="background1" w:themeFillShade="BF"/>
          </w:tcPr>
          <w:p w:rsidR="004D62C0" w:rsidRPr="00974AD0" w:rsidRDefault="00D71488" w:rsidP="00F55D3D">
            <w:pPr>
              <w:spacing w:line="360" w:lineRule="auto"/>
              <w:rPr>
                <w:rFonts w:ascii="微软雅黑" w:eastAsia="微软雅黑" w:hAnsi="微软雅黑"/>
                <w:color w:val="000000"/>
                <w:sz w:val="24"/>
                <w:szCs w:val="24"/>
              </w:rPr>
            </w:pPr>
            <w:r>
              <w:rPr>
                <w:rFonts w:ascii="微软雅黑" w:eastAsia="微软雅黑" w:hAnsi="微软雅黑" w:hint="eastAsia"/>
                <w:color w:val="000000"/>
                <w:sz w:val="24"/>
                <w:szCs w:val="24"/>
              </w:rPr>
              <w:t>本期实现收入</w:t>
            </w:r>
          </w:p>
        </w:tc>
        <w:tc>
          <w:tcPr>
            <w:tcW w:w="1872" w:type="dxa"/>
            <w:shd w:val="clear" w:color="auto" w:fill="BFBFBF" w:themeFill="background1" w:themeFillShade="BF"/>
          </w:tcPr>
          <w:p w:rsidR="004D62C0" w:rsidRPr="00974AD0" w:rsidRDefault="004D62C0" w:rsidP="00F55D3D">
            <w:pPr>
              <w:spacing w:line="360" w:lineRule="auto"/>
              <w:rPr>
                <w:rFonts w:ascii="微软雅黑" w:eastAsia="微软雅黑" w:hAnsi="微软雅黑"/>
                <w:color w:val="000000"/>
                <w:sz w:val="24"/>
                <w:szCs w:val="24"/>
              </w:rPr>
            </w:pPr>
            <w:r w:rsidRPr="00974AD0">
              <w:rPr>
                <w:rFonts w:ascii="微软雅黑" w:eastAsia="微软雅黑" w:hAnsi="微软雅黑" w:hint="eastAsia"/>
                <w:color w:val="000000"/>
                <w:sz w:val="24"/>
                <w:szCs w:val="24"/>
              </w:rPr>
              <w:t>本期利润</w:t>
            </w:r>
          </w:p>
        </w:tc>
        <w:tc>
          <w:tcPr>
            <w:tcW w:w="2182" w:type="dxa"/>
            <w:shd w:val="clear" w:color="auto" w:fill="BFBFBF" w:themeFill="background1" w:themeFillShade="BF"/>
          </w:tcPr>
          <w:p w:rsidR="004D62C0" w:rsidRPr="00974AD0" w:rsidRDefault="004D62C0" w:rsidP="00F55D3D">
            <w:pPr>
              <w:spacing w:line="360" w:lineRule="auto"/>
              <w:rPr>
                <w:rFonts w:ascii="微软雅黑" w:eastAsia="微软雅黑" w:hAnsi="微软雅黑"/>
                <w:color w:val="000000"/>
                <w:sz w:val="24"/>
                <w:szCs w:val="24"/>
              </w:rPr>
            </w:pPr>
            <w:r w:rsidRPr="00974AD0">
              <w:rPr>
                <w:rFonts w:ascii="微软雅黑" w:eastAsia="微软雅黑" w:hAnsi="微软雅黑" w:hint="eastAsia"/>
                <w:color w:val="000000"/>
                <w:sz w:val="24"/>
                <w:szCs w:val="24"/>
              </w:rPr>
              <w:t>期末资产净值</w:t>
            </w:r>
          </w:p>
        </w:tc>
        <w:tc>
          <w:tcPr>
            <w:tcW w:w="2076" w:type="dxa"/>
            <w:shd w:val="clear" w:color="auto" w:fill="BFBFBF" w:themeFill="background1" w:themeFillShade="BF"/>
          </w:tcPr>
          <w:p w:rsidR="004D62C0" w:rsidRPr="00974AD0" w:rsidRDefault="004D62C0" w:rsidP="00F55D3D">
            <w:pPr>
              <w:spacing w:line="360" w:lineRule="auto"/>
              <w:rPr>
                <w:rFonts w:ascii="微软雅黑" w:eastAsia="微软雅黑" w:hAnsi="微软雅黑"/>
                <w:color w:val="000000"/>
                <w:sz w:val="24"/>
                <w:szCs w:val="24"/>
              </w:rPr>
            </w:pPr>
            <w:r w:rsidRPr="00974AD0">
              <w:rPr>
                <w:rFonts w:ascii="微软雅黑" w:eastAsia="微软雅黑" w:hAnsi="微软雅黑" w:hint="eastAsia"/>
                <w:color w:val="000000"/>
                <w:sz w:val="24"/>
                <w:szCs w:val="24"/>
              </w:rPr>
              <w:t>期末产品净值</w:t>
            </w:r>
          </w:p>
        </w:tc>
      </w:tr>
      <w:tr w:rsidR="004D62C0" w:rsidRPr="00974AD0" w:rsidTr="0027502D">
        <w:trPr>
          <w:trHeight w:val="422"/>
        </w:trPr>
        <w:tc>
          <w:tcPr>
            <w:tcW w:w="2411" w:type="dxa"/>
          </w:tcPr>
          <w:p w:rsidR="004D62C0" w:rsidRPr="00974AD0" w:rsidRDefault="004D62C0" w:rsidP="0027502D">
            <w:pPr>
              <w:spacing w:line="360" w:lineRule="auto"/>
              <w:rPr>
                <w:rFonts w:ascii="微软雅黑" w:eastAsia="微软雅黑" w:hAnsi="微软雅黑"/>
                <w:color w:val="000000"/>
                <w:sz w:val="24"/>
                <w:szCs w:val="24"/>
              </w:rPr>
            </w:pPr>
            <w:r w:rsidRPr="00974AD0">
              <w:rPr>
                <w:rFonts w:ascii="微软雅黑" w:eastAsia="微软雅黑" w:hAnsi="微软雅黑" w:hint="eastAsia"/>
                <w:color w:val="000000"/>
                <w:sz w:val="24"/>
                <w:szCs w:val="24"/>
              </w:rPr>
              <w:t>报告期（2017年</w:t>
            </w:r>
            <w:r w:rsidR="00605F2F" w:rsidRPr="00974AD0">
              <w:rPr>
                <w:rFonts w:ascii="微软雅黑" w:eastAsia="微软雅黑" w:hAnsi="微软雅黑" w:hint="eastAsia"/>
                <w:color w:val="000000"/>
                <w:sz w:val="24"/>
                <w:szCs w:val="24"/>
              </w:rPr>
              <w:t>1</w:t>
            </w:r>
            <w:r w:rsidRPr="00974AD0">
              <w:rPr>
                <w:rFonts w:ascii="微软雅黑" w:eastAsia="微软雅黑" w:hAnsi="微软雅黑" w:hint="eastAsia"/>
                <w:color w:val="000000"/>
                <w:sz w:val="24"/>
                <w:szCs w:val="24"/>
              </w:rPr>
              <w:t>月1日－</w:t>
            </w:r>
            <w:r w:rsidR="0027502D">
              <w:rPr>
                <w:rFonts w:ascii="微软雅黑" w:eastAsia="微软雅黑" w:hAnsi="微软雅黑"/>
                <w:color w:val="000000"/>
                <w:sz w:val="24"/>
                <w:szCs w:val="24"/>
              </w:rPr>
              <w:t>12</w:t>
            </w:r>
            <w:r w:rsidRPr="00974AD0">
              <w:rPr>
                <w:rFonts w:ascii="微软雅黑" w:eastAsia="微软雅黑" w:hAnsi="微软雅黑" w:hint="eastAsia"/>
                <w:color w:val="000000"/>
                <w:sz w:val="24"/>
                <w:szCs w:val="24"/>
              </w:rPr>
              <w:t>月</w:t>
            </w:r>
            <w:r w:rsidR="00B37A8C" w:rsidRPr="00974AD0">
              <w:rPr>
                <w:rFonts w:ascii="微软雅黑" w:eastAsia="微软雅黑" w:hAnsi="微软雅黑" w:hint="eastAsia"/>
                <w:color w:val="000000"/>
                <w:sz w:val="24"/>
                <w:szCs w:val="24"/>
              </w:rPr>
              <w:t>3</w:t>
            </w:r>
            <w:r w:rsidR="0027502D">
              <w:rPr>
                <w:rFonts w:ascii="微软雅黑" w:eastAsia="微软雅黑" w:hAnsi="微软雅黑"/>
                <w:color w:val="000000"/>
                <w:sz w:val="24"/>
                <w:szCs w:val="24"/>
              </w:rPr>
              <w:t>1</w:t>
            </w:r>
            <w:r w:rsidRPr="00974AD0">
              <w:rPr>
                <w:rFonts w:ascii="微软雅黑" w:eastAsia="微软雅黑" w:hAnsi="微软雅黑" w:hint="eastAsia"/>
                <w:color w:val="000000"/>
                <w:sz w:val="24"/>
                <w:szCs w:val="24"/>
              </w:rPr>
              <w:t>日）</w:t>
            </w:r>
          </w:p>
        </w:tc>
        <w:tc>
          <w:tcPr>
            <w:tcW w:w="1955" w:type="dxa"/>
          </w:tcPr>
          <w:p w:rsidR="004D62C0" w:rsidRDefault="0027502D" w:rsidP="00F55D3D">
            <w:pPr>
              <w:spacing w:line="360" w:lineRule="auto"/>
              <w:rPr>
                <w:rFonts w:ascii="微软雅黑" w:eastAsia="微软雅黑" w:hAnsi="微软雅黑"/>
                <w:color w:val="000000"/>
                <w:sz w:val="24"/>
                <w:szCs w:val="24"/>
              </w:rPr>
            </w:pPr>
            <w:r>
              <w:rPr>
                <w:rFonts w:ascii="微软雅黑" w:eastAsia="微软雅黑" w:hAnsi="微软雅黑" w:hint="eastAsia"/>
                <w:color w:val="000000"/>
                <w:sz w:val="24"/>
                <w:szCs w:val="24"/>
              </w:rPr>
              <w:t>81722378.86</w:t>
            </w:r>
          </w:p>
          <w:p w:rsidR="0027502D" w:rsidRPr="00974AD0" w:rsidRDefault="0027502D" w:rsidP="00F55D3D">
            <w:pPr>
              <w:spacing w:line="360" w:lineRule="auto"/>
              <w:rPr>
                <w:rFonts w:ascii="微软雅黑" w:eastAsia="微软雅黑" w:hAnsi="微软雅黑"/>
                <w:color w:val="000000"/>
                <w:sz w:val="24"/>
                <w:szCs w:val="24"/>
              </w:rPr>
            </w:pPr>
          </w:p>
        </w:tc>
        <w:tc>
          <w:tcPr>
            <w:tcW w:w="1872" w:type="dxa"/>
          </w:tcPr>
          <w:p w:rsidR="004D62C0" w:rsidRPr="00974AD0" w:rsidRDefault="0027502D" w:rsidP="00F55D3D">
            <w:pPr>
              <w:spacing w:line="360" w:lineRule="auto"/>
              <w:rPr>
                <w:rFonts w:ascii="微软雅黑" w:eastAsia="微软雅黑" w:hAnsi="微软雅黑"/>
                <w:color w:val="000000"/>
                <w:sz w:val="24"/>
                <w:szCs w:val="24"/>
              </w:rPr>
            </w:pPr>
            <w:r>
              <w:rPr>
                <w:rFonts w:ascii="微软雅黑" w:eastAsia="微软雅黑" w:hAnsi="微软雅黑" w:hint="eastAsia"/>
                <w:color w:val="000000"/>
                <w:sz w:val="24"/>
                <w:szCs w:val="24"/>
              </w:rPr>
              <w:t>7292616.22</w:t>
            </w:r>
          </w:p>
        </w:tc>
        <w:tc>
          <w:tcPr>
            <w:tcW w:w="2182" w:type="dxa"/>
          </w:tcPr>
          <w:p w:rsidR="004D62C0" w:rsidRDefault="0027502D" w:rsidP="00F55D3D">
            <w:pPr>
              <w:spacing w:line="360" w:lineRule="auto"/>
              <w:rPr>
                <w:rFonts w:ascii="微软雅黑" w:eastAsia="微软雅黑" w:hAnsi="微软雅黑"/>
                <w:color w:val="000000"/>
                <w:sz w:val="24"/>
                <w:szCs w:val="24"/>
              </w:rPr>
            </w:pPr>
            <w:r>
              <w:rPr>
                <w:rFonts w:ascii="微软雅黑" w:eastAsia="微软雅黑" w:hAnsi="微软雅黑"/>
                <w:color w:val="000000"/>
                <w:sz w:val="24"/>
                <w:szCs w:val="24"/>
              </w:rPr>
              <w:t>1293821963.55</w:t>
            </w:r>
          </w:p>
          <w:p w:rsidR="0027502D" w:rsidRPr="00974AD0" w:rsidRDefault="0027502D" w:rsidP="00F55D3D">
            <w:pPr>
              <w:spacing w:line="360" w:lineRule="auto"/>
              <w:rPr>
                <w:rFonts w:ascii="微软雅黑" w:eastAsia="微软雅黑" w:hAnsi="微软雅黑"/>
                <w:color w:val="000000"/>
                <w:sz w:val="24"/>
                <w:szCs w:val="24"/>
              </w:rPr>
            </w:pPr>
          </w:p>
        </w:tc>
        <w:tc>
          <w:tcPr>
            <w:tcW w:w="2076" w:type="dxa"/>
          </w:tcPr>
          <w:p w:rsidR="004D62C0" w:rsidRPr="00974AD0" w:rsidRDefault="00D71488" w:rsidP="0027502D">
            <w:pPr>
              <w:spacing w:line="360" w:lineRule="auto"/>
              <w:rPr>
                <w:rFonts w:ascii="微软雅黑" w:eastAsia="微软雅黑" w:hAnsi="微软雅黑"/>
                <w:color w:val="000000"/>
                <w:sz w:val="24"/>
                <w:szCs w:val="24"/>
              </w:rPr>
            </w:pPr>
            <w:r w:rsidRPr="00D71488">
              <w:rPr>
                <w:rFonts w:ascii="微软雅黑" w:eastAsia="微软雅黑" w:hAnsi="微软雅黑"/>
                <w:color w:val="000000"/>
                <w:sz w:val="24"/>
                <w:szCs w:val="24"/>
              </w:rPr>
              <w:t>1.0</w:t>
            </w:r>
            <w:r w:rsidR="0027502D">
              <w:rPr>
                <w:rFonts w:ascii="微软雅黑" w:eastAsia="微软雅黑" w:hAnsi="微软雅黑"/>
                <w:color w:val="000000"/>
                <w:sz w:val="24"/>
                <w:szCs w:val="24"/>
              </w:rPr>
              <w:t>637</w:t>
            </w:r>
            <w:r>
              <w:rPr>
                <w:rFonts w:ascii="微软雅黑" w:eastAsia="微软雅黑" w:hAnsi="微软雅黑" w:hint="eastAsia"/>
                <w:color w:val="000000"/>
                <w:sz w:val="24"/>
                <w:szCs w:val="24"/>
              </w:rPr>
              <w:t>（累计</w:t>
            </w:r>
            <w:r>
              <w:rPr>
                <w:rFonts w:ascii="微软雅黑" w:eastAsia="微软雅黑" w:hAnsi="微软雅黑"/>
                <w:color w:val="000000"/>
                <w:sz w:val="24"/>
                <w:szCs w:val="24"/>
              </w:rPr>
              <w:t>净值）</w:t>
            </w:r>
          </w:p>
        </w:tc>
      </w:tr>
    </w:tbl>
    <w:p w:rsidR="00974AD0" w:rsidRDefault="00974AD0" w:rsidP="00F55D3D">
      <w:pPr>
        <w:autoSpaceDE w:val="0"/>
        <w:autoSpaceDN w:val="0"/>
        <w:adjustRightInd w:val="0"/>
        <w:spacing w:line="360" w:lineRule="auto"/>
        <w:jc w:val="left"/>
        <w:rPr>
          <w:rFonts w:ascii="宋体" w:hAnsi="宋体"/>
          <w:b/>
          <w:bCs/>
          <w:color w:val="000000"/>
          <w:kern w:val="0"/>
          <w:sz w:val="24"/>
          <w:szCs w:val="24"/>
        </w:rPr>
      </w:pPr>
    </w:p>
    <w:p w:rsidR="00974AD0" w:rsidRPr="00974AD0" w:rsidRDefault="00750D48" w:rsidP="00F55D3D">
      <w:pPr>
        <w:autoSpaceDE w:val="0"/>
        <w:autoSpaceDN w:val="0"/>
        <w:adjustRightInd w:val="0"/>
        <w:spacing w:line="360" w:lineRule="auto"/>
        <w:jc w:val="left"/>
        <w:rPr>
          <w:rFonts w:ascii="微软雅黑" w:eastAsia="微软雅黑" w:hAnsi="微软雅黑"/>
          <w:b/>
          <w:bCs/>
          <w:color w:val="000000"/>
          <w:kern w:val="0"/>
          <w:sz w:val="24"/>
          <w:szCs w:val="24"/>
        </w:rPr>
      </w:pPr>
      <w:r w:rsidRPr="00974AD0">
        <w:rPr>
          <w:rFonts w:ascii="微软雅黑" w:eastAsia="微软雅黑" w:hAnsi="微软雅黑"/>
          <w:b/>
          <w:bCs/>
          <w:color w:val="000000"/>
          <w:kern w:val="0"/>
          <w:sz w:val="24"/>
          <w:szCs w:val="24"/>
        </w:rPr>
        <w:t>3.2</w:t>
      </w:r>
      <w:r w:rsidR="00CD2923" w:rsidRPr="00974AD0">
        <w:rPr>
          <w:rFonts w:ascii="微软雅黑" w:eastAsia="微软雅黑" w:hAnsi="微软雅黑"/>
          <w:b/>
          <w:bCs/>
          <w:color w:val="000000"/>
          <w:kern w:val="0"/>
          <w:sz w:val="24"/>
          <w:szCs w:val="24"/>
        </w:rPr>
        <w:t xml:space="preserve"> </w:t>
      </w:r>
      <w:r w:rsidR="00974AD0" w:rsidRPr="00974AD0">
        <w:rPr>
          <w:rFonts w:ascii="微软雅黑" w:eastAsia="微软雅黑" w:hAnsi="微软雅黑"/>
          <w:b/>
          <w:bCs/>
          <w:color w:val="000000"/>
          <w:kern w:val="0"/>
          <w:sz w:val="24"/>
          <w:szCs w:val="24"/>
        </w:rPr>
        <w:t xml:space="preserve"> </w:t>
      </w:r>
      <w:r w:rsidR="00974AD0" w:rsidRPr="00974AD0">
        <w:rPr>
          <w:rFonts w:ascii="微软雅黑" w:eastAsia="微软雅黑" w:hAnsi="微软雅黑" w:hint="eastAsia"/>
          <w:b/>
          <w:bCs/>
          <w:color w:val="000000"/>
          <w:kern w:val="0"/>
          <w:sz w:val="24"/>
          <w:szCs w:val="24"/>
        </w:rPr>
        <w:t>产品</w:t>
      </w:r>
      <w:r w:rsidR="00974AD0" w:rsidRPr="00974AD0">
        <w:rPr>
          <w:rFonts w:ascii="微软雅黑" w:eastAsia="微软雅黑" w:hAnsi="微软雅黑"/>
          <w:b/>
          <w:bCs/>
          <w:color w:val="000000"/>
          <w:kern w:val="0"/>
          <w:sz w:val="24"/>
          <w:szCs w:val="24"/>
        </w:rPr>
        <w:t>规模情况</w:t>
      </w:r>
    </w:p>
    <w:p w:rsidR="00974AD0" w:rsidRDefault="0026438E" w:rsidP="00F55D3D">
      <w:pPr>
        <w:spacing w:line="360" w:lineRule="auto"/>
        <w:ind w:firstLineChars="200" w:firstLine="480"/>
        <w:rPr>
          <w:rFonts w:ascii="微软雅黑" w:eastAsia="微软雅黑" w:hAnsi="微软雅黑"/>
          <w:sz w:val="24"/>
          <w:szCs w:val="28"/>
        </w:rPr>
      </w:pPr>
      <w:r w:rsidRPr="0026438E">
        <w:rPr>
          <w:rFonts w:ascii="微软雅黑" w:eastAsia="微软雅黑" w:hAnsi="微软雅黑" w:hint="eastAsia"/>
          <w:sz w:val="24"/>
          <w:szCs w:val="28"/>
        </w:rPr>
        <w:t>养老B款</w:t>
      </w:r>
      <w:r w:rsidR="000D38E4">
        <w:rPr>
          <w:rFonts w:ascii="微软雅黑" w:eastAsia="微软雅黑" w:hAnsi="微软雅黑" w:hint="eastAsia"/>
          <w:sz w:val="24"/>
          <w:szCs w:val="28"/>
        </w:rPr>
        <w:t>产品</w:t>
      </w:r>
      <w:r w:rsidR="000D38E4">
        <w:rPr>
          <w:rFonts w:ascii="微软雅黑" w:eastAsia="微软雅黑" w:hAnsi="微软雅黑"/>
          <w:sz w:val="24"/>
          <w:szCs w:val="28"/>
        </w:rPr>
        <w:t>期初产品规模</w:t>
      </w:r>
      <w:r w:rsidRPr="0026438E">
        <w:rPr>
          <w:rFonts w:ascii="微软雅黑" w:eastAsia="微软雅黑" w:hAnsi="微软雅黑" w:hint="eastAsia"/>
          <w:sz w:val="24"/>
          <w:szCs w:val="28"/>
        </w:rPr>
        <w:t>17.13亿元，</w:t>
      </w:r>
      <w:r w:rsidR="000D38E4">
        <w:rPr>
          <w:rFonts w:ascii="微软雅黑" w:eastAsia="微软雅黑" w:hAnsi="微软雅黑" w:hint="eastAsia"/>
          <w:sz w:val="24"/>
          <w:szCs w:val="28"/>
        </w:rPr>
        <w:t>期末规模</w:t>
      </w:r>
      <w:r w:rsidR="0027502D">
        <w:rPr>
          <w:rFonts w:ascii="微软雅黑" w:eastAsia="微软雅黑" w:hAnsi="微软雅黑"/>
          <w:sz w:val="24"/>
          <w:szCs w:val="28"/>
        </w:rPr>
        <w:t>12.91</w:t>
      </w:r>
      <w:r w:rsidRPr="0026438E">
        <w:rPr>
          <w:rFonts w:ascii="微软雅黑" w:eastAsia="微软雅黑" w:hAnsi="微软雅黑" w:hint="eastAsia"/>
          <w:sz w:val="24"/>
          <w:szCs w:val="28"/>
        </w:rPr>
        <w:t>亿元。</w:t>
      </w:r>
    </w:p>
    <w:p w:rsidR="000C3852" w:rsidRDefault="0027502D" w:rsidP="00F55D3D">
      <w:pPr>
        <w:spacing w:line="360" w:lineRule="auto"/>
        <w:ind w:firstLineChars="200" w:firstLine="420"/>
        <w:rPr>
          <w:rFonts w:ascii="微软雅黑" w:eastAsia="微软雅黑" w:hAnsi="微软雅黑"/>
          <w:sz w:val="24"/>
          <w:szCs w:val="28"/>
        </w:rPr>
      </w:pPr>
      <w:r>
        <w:rPr>
          <w:noProof/>
        </w:rPr>
        <w:drawing>
          <wp:inline distT="0" distB="0" distL="0" distR="0" wp14:anchorId="7AC9D3AF" wp14:editId="21B09D85">
            <wp:extent cx="4905375" cy="3076575"/>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50D48" w:rsidRPr="00974AD0" w:rsidRDefault="00974AD0" w:rsidP="00F55D3D">
      <w:pPr>
        <w:autoSpaceDE w:val="0"/>
        <w:autoSpaceDN w:val="0"/>
        <w:adjustRightInd w:val="0"/>
        <w:spacing w:line="360" w:lineRule="auto"/>
        <w:jc w:val="left"/>
        <w:rPr>
          <w:rFonts w:ascii="微软雅黑" w:eastAsia="微软雅黑" w:hAnsi="微软雅黑"/>
          <w:b/>
          <w:bCs/>
          <w:color w:val="000000"/>
          <w:kern w:val="0"/>
          <w:sz w:val="24"/>
          <w:szCs w:val="24"/>
        </w:rPr>
      </w:pPr>
      <w:r w:rsidRPr="00974AD0">
        <w:rPr>
          <w:rFonts w:ascii="微软雅黑" w:eastAsia="微软雅黑" w:hAnsi="微软雅黑" w:hint="eastAsia"/>
          <w:b/>
          <w:bCs/>
          <w:color w:val="000000"/>
          <w:kern w:val="0"/>
          <w:sz w:val="24"/>
          <w:szCs w:val="24"/>
        </w:rPr>
        <w:t xml:space="preserve">3.3  </w:t>
      </w:r>
      <w:r w:rsidR="004D62C0" w:rsidRPr="00974AD0">
        <w:rPr>
          <w:rFonts w:ascii="微软雅黑" w:eastAsia="微软雅黑" w:hAnsi="微软雅黑" w:hint="eastAsia"/>
          <w:b/>
          <w:bCs/>
          <w:color w:val="000000"/>
          <w:kern w:val="0"/>
          <w:sz w:val="24"/>
          <w:szCs w:val="24"/>
        </w:rPr>
        <w:t>产品净值表现</w:t>
      </w:r>
    </w:p>
    <w:p w:rsidR="00974AD0" w:rsidRDefault="004D62C0" w:rsidP="00F55D3D">
      <w:pPr>
        <w:spacing w:line="360" w:lineRule="auto"/>
        <w:ind w:firstLineChars="200" w:firstLine="480"/>
        <w:rPr>
          <w:rFonts w:ascii="微软雅黑" w:eastAsia="微软雅黑" w:hAnsi="微软雅黑"/>
          <w:sz w:val="24"/>
          <w:szCs w:val="28"/>
        </w:rPr>
      </w:pPr>
      <w:r w:rsidRPr="00974AD0">
        <w:rPr>
          <w:rFonts w:ascii="微软雅黑" w:eastAsia="微软雅黑" w:hAnsi="微软雅黑"/>
          <w:sz w:val="24"/>
          <w:szCs w:val="28"/>
        </w:rPr>
        <w:t>根据发行时的信息公告和产品说明书的约定，</w:t>
      </w:r>
      <w:r w:rsidRPr="00974AD0">
        <w:rPr>
          <w:rFonts w:ascii="微软雅黑" w:eastAsia="微软雅黑" w:hAnsi="微软雅黑" w:hint="eastAsia"/>
          <w:sz w:val="24"/>
          <w:szCs w:val="28"/>
        </w:rPr>
        <w:t>产品</w:t>
      </w:r>
      <w:r w:rsidRPr="00974AD0">
        <w:rPr>
          <w:rFonts w:ascii="微软雅黑" w:eastAsia="微软雅黑" w:hAnsi="微软雅黑"/>
          <w:sz w:val="24"/>
          <w:szCs w:val="28"/>
        </w:rPr>
        <w:t>自201</w:t>
      </w:r>
      <w:r w:rsidRPr="00974AD0">
        <w:rPr>
          <w:rFonts w:ascii="微软雅黑" w:eastAsia="微软雅黑" w:hAnsi="微软雅黑" w:hint="eastAsia"/>
          <w:sz w:val="24"/>
          <w:szCs w:val="28"/>
        </w:rPr>
        <w:t>6</w:t>
      </w:r>
      <w:r w:rsidRPr="00974AD0">
        <w:rPr>
          <w:rFonts w:ascii="微软雅黑" w:eastAsia="微软雅黑" w:hAnsi="微软雅黑"/>
          <w:sz w:val="24"/>
          <w:szCs w:val="28"/>
        </w:rPr>
        <w:t>年10月14</w:t>
      </w:r>
      <w:r w:rsidR="007168BF">
        <w:rPr>
          <w:rFonts w:ascii="微软雅黑" w:eastAsia="微软雅黑" w:hAnsi="微软雅黑" w:hint="eastAsia"/>
          <w:sz w:val="24"/>
          <w:szCs w:val="28"/>
        </w:rPr>
        <w:t>日</w:t>
      </w:r>
      <w:r w:rsidRPr="00974AD0">
        <w:rPr>
          <w:rFonts w:ascii="微软雅黑" w:eastAsia="微软雅黑" w:hAnsi="微软雅黑" w:hint="eastAsia"/>
          <w:sz w:val="24"/>
          <w:szCs w:val="28"/>
        </w:rPr>
        <w:t>成立后每周公布</w:t>
      </w:r>
      <w:r w:rsidR="00974AD0">
        <w:rPr>
          <w:rFonts w:ascii="微软雅黑" w:eastAsia="微软雅黑" w:hAnsi="微软雅黑"/>
          <w:sz w:val="24"/>
          <w:szCs w:val="28"/>
        </w:rPr>
        <w:t>产品</w:t>
      </w:r>
      <w:r w:rsidR="003D08F6">
        <w:rPr>
          <w:rFonts w:ascii="微软雅黑" w:eastAsia="微软雅黑" w:hAnsi="微软雅黑" w:hint="eastAsia"/>
          <w:sz w:val="24"/>
          <w:szCs w:val="28"/>
        </w:rPr>
        <w:t>参考</w:t>
      </w:r>
      <w:r w:rsidR="00974AD0">
        <w:rPr>
          <w:rFonts w:ascii="微软雅黑" w:eastAsia="微软雅黑" w:hAnsi="微软雅黑"/>
          <w:sz w:val="24"/>
          <w:szCs w:val="28"/>
        </w:rPr>
        <w:t>净值与期间参考年化收益率</w:t>
      </w:r>
      <w:r w:rsidR="00974AD0">
        <w:rPr>
          <w:rFonts w:ascii="微软雅黑" w:eastAsia="微软雅黑" w:hAnsi="微软雅黑" w:hint="eastAsia"/>
          <w:sz w:val="24"/>
          <w:szCs w:val="28"/>
        </w:rPr>
        <w:t>。</w:t>
      </w:r>
    </w:p>
    <w:p w:rsidR="004D62C0" w:rsidRPr="00974AD0" w:rsidRDefault="00974AD0" w:rsidP="00F55D3D">
      <w:pPr>
        <w:spacing w:line="360" w:lineRule="auto"/>
        <w:ind w:firstLineChars="200" w:firstLine="480"/>
        <w:rPr>
          <w:rFonts w:ascii="微软雅黑" w:eastAsia="微软雅黑" w:hAnsi="微软雅黑"/>
          <w:sz w:val="24"/>
          <w:szCs w:val="28"/>
        </w:rPr>
      </w:pPr>
      <w:r>
        <w:rPr>
          <w:rFonts w:ascii="微软雅黑" w:eastAsia="微软雅黑" w:hAnsi="微软雅黑"/>
          <w:sz w:val="24"/>
          <w:szCs w:val="28"/>
        </w:rPr>
        <w:t>实际收益情况如下所示</w:t>
      </w:r>
      <w:r>
        <w:rPr>
          <w:rFonts w:ascii="微软雅黑" w:eastAsia="微软雅黑" w:hAnsi="微软雅黑" w:hint="eastAsia"/>
          <w:sz w:val="24"/>
          <w:szCs w:val="28"/>
        </w:rPr>
        <w:t>：</w:t>
      </w:r>
    </w:p>
    <w:p w:rsidR="00D844EA" w:rsidRPr="00CA1F8C" w:rsidRDefault="0026438E" w:rsidP="00F55D3D">
      <w:pPr>
        <w:spacing w:line="360" w:lineRule="auto"/>
        <w:ind w:firstLineChars="200" w:firstLine="480"/>
        <w:rPr>
          <w:rFonts w:ascii="微软雅黑" w:eastAsia="微软雅黑" w:hAnsi="微软雅黑"/>
          <w:sz w:val="24"/>
          <w:szCs w:val="28"/>
        </w:rPr>
      </w:pPr>
      <w:r w:rsidRPr="00CA1F8C">
        <w:rPr>
          <w:rFonts w:ascii="微软雅黑" w:eastAsia="微软雅黑" w:hAnsi="微软雅黑" w:hint="eastAsia"/>
          <w:sz w:val="24"/>
          <w:szCs w:val="28"/>
        </w:rPr>
        <w:t>B款产品期初净值1.0086（累计净值），期末净值1.0</w:t>
      </w:r>
      <w:r w:rsidR="0027502D">
        <w:rPr>
          <w:rFonts w:ascii="微软雅黑" w:eastAsia="微软雅黑" w:hAnsi="微软雅黑"/>
          <w:sz w:val="24"/>
          <w:szCs w:val="28"/>
        </w:rPr>
        <w:t>637</w:t>
      </w:r>
      <w:r w:rsidRPr="00CA1F8C">
        <w:rPr>
          <w:rFonts w:ascii="微软雅黑" w:eastAsia="微软雅黑" w:hAnsi="微软雅黑" w:hint="eastAsia"/>
          <w:sz w:val="24"/>
          <w:szCs w:val="28"/>
        </w:rPr>
        <w:t xml:space="preserve"> （累计净值），</w:t>
      </w:r>
      <w:r w:rsidRPr="00CA1F8C">
        <w:rPr>
          <w:rFonts w:ascii="微软雅黑" w:eastAsia="微软雅黑" w:hAnsi="微软雅黑" w:hint="eastAsia"/>
          <w:sz w:val="24"/>
          <w:szCs w:val="28"/>
        </w:rPr>
        <w:lastRenderedPageBreak/>
        <w:t>区间年化收益</w:t>
      </w:r>
      <w:r w:rsidR="0027502D">
        <w:rPr>
          <w:rFonts w:ascii="微软雅黑" w:eastAsia="微软雅黑" w:hAnsi="微软雅黑"/>
          <w:sz w:val="24"/>
          <w:szCs w:val="28"/>
        </w:rPr>
        <w:t>5.51</w:t>
      </w:r>
      <w:r w:rsidRPr="00CA1F8C">
        <w:rPr>
          <w:rFonts w:ascii="微软雅黑" w:eastAsia="微软雅黑" w:hAnsi="微软雅黑" w:hint="eastAsia"/>
          <w:sz w:val="24"/>
          <w:szCs w:val="28"/>
        </w:rPr>
        <w:t>%</w:t>
      </w:r>
      <w:r w:rsidR="003D08F6">
        <w:rPr>
          <w:rFonts w:ascii="微软雅黑" w:eastAsia="微软雅黑" w:hAnsi="微软雅黑"/>
          <w:sz w:val="24"/>
          <w:szCs w:val="28"/>
        </w:rPr>
        <w:t>(</w:t>
      </w:r>
      <w:r w:rsidR="003D08F6">
        <w:rPr>
          <w:rFonts w:ascii="微软雅黑" w:eastAsia="微软雅黑" w:hAnsi="微软雅黑" w:hint="eastAsia"/>
          <w:sz w:val="24"/>
          <w:szCs w:val="28"/>
        </w:rPr>
        <w:t>未</w:t>
      </w:r>
      <w:r w:rsidR="003D08F6">
        <w:rPr>
          <w:rFonts w:ascii="微软雅黑" w:eastAsia="微软雅黑" w:hAnsi="微软雅黑"/>
          <w:sz w:val="24"/>
          <w:szCs w:val="28"/>
        </w:rPr>
        <w:t>扣除超额</w:t>
      </w:r>
      <w:r w:rsidR="003D08F6">
        <w:rPr>
          <w:rFonts w:ascii="微软雅黑" w:eastAsia="微软雅黑" w:hAnsi="微软雅黑" w:hint="eastAsia"/>
          <w:sz w:val="24"/>
          <w:szCs w:val="28"/>
        </w:rPr>
        <w:t>业绩</w:t>
      </w:r>
      <w:r w:rsidR="003D08F6">
        <w:rPr>
          <w:rFonts w:ascii="微软雅黑" w:eastAsia="微软雅黑" w:hAnsi="微软雅黑"/>
          <w:sz w:val="24"/>
          <w:szCs w:val="28"/>
        </w:rPr>
        <w:t>管理费)</w:t>
      </w:r>
      <w:r w:rsidR="00D844EA" w:rsidRPr="00CA1F8C">
        <w:rPr>
          <w:rFonts w:ascii="微软雅黑" w:eastAsia="微软雅黑" w:hAnsi="微软雅黑" w:hint="eastAsia"/>
          <w:sz w:val="24"/>
          <w:szCs w:val="28"/>
        </w:rPr>
        <w:t>。</w:t>
      </w:r>
    </w:p>
    <w:p w:rsidR="00974AD0" w:rsidRDefault="00A42A17" w:rsidP="00F55D3D">
      <w:pPr>
        <w:spacing w:line="360" w:lineRule="auto"/>
        <w:jc w:val="center"/>
        <w:rPr>
          <w:noProof/>
        </w:rPr>
      </w:pPr>
      <w:r>
        <w:rPr>
          <w:noProof/>
        </w:rPr>
        <w:drawing>
          <wp:inline distT="0" distB="0" distL="0" distR="0" wp14:anchorId="32E01C06" wp14:editId="5B5646DE">
            <wp:extent cx="4876800" cy="24765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87463" w:rsidRDefault="00B87463" w:rsidP="00F55D3D">
      <w:pPr>
        <w:spacing w:line="360" w:lineRule="auto"/>
        <w:jc w:val="center"/>
        <w:rPr>
          <w:noProof/>
        </w:rPr>
      </w:pPr>
      <w:r>
        <w:rPr>
          <w:noProof/>
        </w:rPr>
        <w:drawing>
          <wp:inline distT="0" distB="0" distL="0" distR="0" wp14:anchorId="242EAA3A" wp14:editId="3D33BF57">
            <wp:extent cx="4886325" cy="240030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50D48" w:rsidRPr="00490CB5" w:rsidRDefault="00750D48" w:rsidP="004077D2">
      <w:pPr>
        <w:pStyle w:val="1"/>
        <w:spacing w:beforeLines="100" w:before="312" w:afterLines="100" w:after="312" w:line="360" w:lineRule="auto"/>
        <w:jc w:val="center"/>
        <w:rPr>
          <w:rFonts w:ascii="微软雅黑" w:eastAsia="微软雅黑" w:hAnsi="微软雅黑"/>
          <w:color w:val="000000"/>
          <w:kern w:val="0"/>
          <w:sz w:val="28"/>
          <w:szCs w:val="24"/>
        </w:rPr>
      </w:pPr>
      <w:r w:rsidRPr="00490CB5">
        <w:rPr>
          <w:rFonts w:ascii="微软雅黑" w:eastAsia="微软雅黑" w:hAnsi="微软雅黑" w:hint="eastAsia"/>
          <w:color w:val="000000"/>
          <w:kern w:val="0"/>
          <w:sz w:val="28"/>
          <w:szCs w:val="24"/>
        </w:rPr>
        <w:t>§</w:t>
      </w:r>
      <w:r w:rsidR="00940BE1">
        <w:rPr>
          <w:rFonts w:ascii="微软雅黑" w:eastAsia="微软雅黑" w:hAnsi="微软雅黑"/>
          <w:color w:val="000000"/>
          <w:kern w:val="0"/>
          <w:sz w:val="28"/>
          <w:szCs w:val="24"/>
        </w:rPr>
        <w:t>4</w:t>
      </w:r>
      <w:r w:rsidRPr="00490CB5">
        <w:rPr>
          <w:rFonts w:ascii="微软雅黑" w:eastAsia="微软雅黑" w:hAnsi="微软雅黑"/>
          <w:color w:val="000000"/>
          <w:kern w:val="0"/>
          <w:sz w:val="28"/>
          <w:szCs w:val="24"/>
        </w:rPr>
        <w:t xml:space="preserve"> </w:t>
      </w:r>
      <w:r w:rsidRPr="00490CB5">
        <w:rPr>
          <w:rFonts w:ascii="微软雅黑" w:eastAsia="微软雅黑" w:hAnsi="微软雅黑" w:hint="eastAsia"/>
          <w:color w:val="000000"/>
          <w:kern w:val="0"/>
          <w:sz w:val="28"/>
          <w:szCs w:val="24"/>
        </w:rPr>
        <w:t>投资组合报告</w:t>
      </w:r>
    </w:p>
    <w:p w:rsidR="00973260" w:rsidRPr="00940BE1" w:rsidRDefault="00940BE1" w:rsidP="00F55D3D">
      <w:pPr>
        <w:autoSpaceDE w:val="0"/>
        <w:autoSpaceDN w:val="0"/>
        <w:adjustRightInd w:val="0"/>
        <w:spacing w:line="360" w:lineRule="auto"/>
        <w:jc w:val="left"/>
        <w:rPr>
          <w:rFonts w:ascii="微软雅黑" w:eastAsia="微软雅黑" w:hAnsi="微软雅黑"/>
          <w:b/>
          <w:bCs/>
          <w:color w:val="000000"/>
          <w:kern w:val="0"/>
          <w:sz w:val="24"/>
          <w:szCs w:val="24"/>
        </w:rPr>
      </w:pPr>
      <w:r>
        <w:rPr>
          <w:rFonts w:ascii="微软雅黑" w:eastAsia="微软雅黑" w:hAnsi="微软雅黑"/>
          <w:b/>
          <w:bCs/>
          <w:color w:val="000000"/>
          <w:kern w:val="0"/>
          <w:sz w:val="24"/>
          <w:szCs w:val="24"/>
        </w:rPr>
        <w:t>4</w:t>
      </w:r>
      <w:r w:rsidR="00750D48" w:rsidRPr="00490CB5">
        <w:rPr>
          <w:rFonts w:ascii="微软雅黑" w:eastAsia="微软雅黑" w:hAnsi="微软雅黑"/>
          <w:b/>
          <w:bCs/>
          <w:color w:val="000000"/>
          <w:kern w:val="0"/>
          <w:sz w:val="24"/>
          <w:szCs w:val="24"/>
        </w:rPr>
        <w:t>.1</w:t>
      </w:r>
      <w:r>
        <w:rPr>
          <w:rFonts w:ascii="微软雅黑" w:eastAsia="微软雅黑" w:hAnsi="微软雅黑"/>
          <w:b/>
          <w:bCs/>
          <w:color w:val="000000"/>
          <w:kern w:val="0"/>
          <w:sz w:val="24"/>
          <w:szCs w:val="24"/>
        </w:rPr>
        <w:t xml:space="preserve">  </w:t>
      </w:r>
      <w:r w:rsidRPr="00940BE1">
        <w:rPr>
          <w:rFonts w:ascii="微软雅黑" w:eastAsia="微软雅黑" w:hAnsi="微软雅黑" w:hint="eastAsia"/>
          <w:b/>
          <w:bCs/>
          <w:color w:val="000000"/>
          <w:kern w:val="0"/>
          <w:sz w:val="24"/>
          <w:szCs w:val="24"/>
        </w:rPr>
        <w:t>持仓</w:t>
      </w:r>
      <w:r w:rsidR="00973260" w:rsidRPr="00940BE1">
        <w:rPr>
          <w:rFonts w:ascii="微软雅黑" w:eastAsia="微软雅黑" w:hAnsi="微软雅黑"/>
          <w:b/>
          <w:bCs/>
          <w:color w:val="000000"/>
          <w:kern w:val="0"/>
          <w:sz w:val="24"/>
          <w:szCs w:val="24"/>
        </w:rPr>
        <w:t>情况</w:t>
      </w:r>
    </w:p>
    <w:tbl>
      <w:tblPr>
        <w:tblW w:w="8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3479"/>
        <w:gridCol w:w="1589"/>
      </w:tblGrid>
      <w:tr w:rsidR="0026438E" w:rsidRPr="0026438E" w:rsidTr="0026438E">
        <w:trPr>
          <w:trHeight w:val="465"/>
        </w:trPr>
        <w:tc>
          <w:tcPr>
            <w:tcW w:w="3299" w:type="dxa"/>
            <w:shd w:val="clear" w:color="000000" w:fill="BFBFBF"/>
            <w:noWrap/>
            <w:vAlign w:val="center"/>
            <w:hideMark/>
          </w:tcPr>
          <w:p w:rsidR="0026438E" w:rsidRPr="0026438E" w:rsidRDefault="0026438E" w:rsidP="00F55D3D">
            <w:pPr>
              <w:widowControl/>
              <w:spacing w:line="360" w:lineRule="auto"/>
              <w:jc w:val="left"/>
              <w:rPr>
                <w:rFonts w:ascii="微软雅黑" w:eastAsia="微软雅黑" w:hAnsi="微软雅黑" w:cs="宋体"/>
                <w:b/>
                <w:bCs/>
                <w:color w:val="000000"/>
                <w:kern w:val="0"/>
                <w:sz w:val="24"/>
                <w:szCs w:val="24"/>
              </w:rPr>
            </w:pPr>
            <w:r w:rsidRPr="0026438E">
              <w:rPr>
                <w:rFonts w:ascii="微软雅黑" w:eastAsia="微软雅黑" w:hAnsi="微软雅黑" w:cs="宋体" w:hint="eastAsia"/>
                <w:b/>
                <w:bCs/>
                <w:color w:val="000000"/>
                <w:kern w:val="0"/>
                <w:sz w:val="24"/>
                <w:szCs w:val="24"/>
              </w:rPr>
              <w:t>B款</w:t>
            </w:r>
          </w:p>
        </w:tc>
        <w:tc>
          <w:tcPr>
            <w:tcW w:w="3479" w:type="dxa"/>
            <w:shd w:val="clear" w:color="000000" w:fill="BFBFBF"/>
            <w:noWrap/>
            <w:vAlign w:val="center"/>
            <w:hideMark/>
          </w:tcPr>
          <w:p w:rsidR="0026438E" w:rsidRPr="0026438E" w:rsidRDefault="0026438E" w:rsidP="00F55D3D">
            <w:pPr>
              <w:widowControl/>
              <w:spacing w:line="360" w:lineRule="auto"/>
              <w:jc w:val="left"/>
              <w:rPr>
                <w:rFonts w:ascii="微软雅黑" w:eastAsia="微软雅黑" w:hAnsi="微软雅黑" w:cs="宋体"/>
                <w:b/>
                <w:bCs/>
                <w:color w:val="000000"/>
                <w:kern w:val="0"/>
                <w:sz w:val="24"/>
                <w:szCs w:val="24"/>
              </w:rPr>
            </w:pPr>
            <w:r w:rsidRPr="0026438E">
              <w:rPr>
                <w:rFonts w:ascii="微软雅黑" w:eastAsia="微软雅黑" w:hAnsi="微软雅黑" w:cs="宋体" w:hint="eastAsia"/>
                <w:b/>
                <w:bCs/>
                <w:color w:val="000000"/>
                <w:kern w:val="0"/>
                <w:sz w:val="24"/>
                <w:szCs w:val="24"/>
              </w:rPr>
              <w:t>金额</w:t>
            </w:r>
          </w:p>
        </w:tc>
        <w:tc>
          <w:tcPr>
            <w:tcW w:w="1589" w:type="dxa"/>
            <w:shd w:val="clear" w:color="000000" w:fill="BFBFBF"/>
            <w:noWrap/>
            <w:vAlign w:val="center"/>
            <w:hideMark/>
          </w:tcPr>
          <w:p w:rsidR="0026438E" w:rsidRPr="0026438E" w:rsidRDefault="0026438E" w:rsidP="00F55D3D">
            <w:pPr>
              <w:widowControl/>
              <w:spacing w:line="360" w:lineRule="auto"/>
              <w:jc w:val="left"/>
              <w:rPr>
                <w:rFonts w:ascii="微软雅黑" w:eastAsia="微软雅黑" w:hAnsi="微软雅黑" w:cs="宋体"/>
                <w:b/>
                <w:bCs/>
                <w:color w:val="000000"/>
                <w:kern w:val="0"/>
                <w:sz w:val="24"/>
                <w:szCs w:val="24"/>
              </w:rPr>
            </w:pPr>
            <w:r w:rsidRPr="0026438E">
              <w:rPr>
                <w:rFonts w:ascii="微软雅黑" w:eastAsia="微软雅黑" w:hAnsi="微软雅黑" w:cs="宋体" w:hint="eastAsia"/>
                <w:b/>
                <w:bCs/>
                <w:color w:val="000000"/>
                <w:kern w:val="0"/>
                <w:sz w:val="24"/>
                <w:szCs w:val="24"/>
              </w:rPr>
              <w:t>占比</w:t>
            </w:r>
          </w:p>
        </w:tc>
      </w:tr>
      <w:tr w:rsidR="00851B20" w:rsidRPr="00851B20" w:rsidTr="000F2A8B">
        <w:trPr>
          <w:trHeight w:val="514"/>
        </w:trPr>
        <w:tc>
          <w:tcPr>
            <w:tcW w:w="3299" w:type="dxa"/>
            <w:shd w:val="clear" w:color="auto" w:fill="auto"/>
            <w:noWrap/>
            <w:hideMark/>
          </w:tcPr>
          <w:p w:rsidR="00851B20" w:rsidRPr="00851B20" w:rsidRDefault="00851B20" w:rsidP="00851B20">
            <w:pPr>
              <w:rPr>
                <w:rFonts w:ascii="微软雅黑" w:eastAsia="微软雅黑" w:hAnsi="微软雅黑"/>
                <w:sz w:val="22"/>
              </w:rPr>
            </w:pPr>
            <w:r w:rsidRPr="00851B20">
              <w:rPr>
                <w:rFonts w:ascii="微软雅黑" w:eastAsia="微软雅黑" w:hAnsi="微软雅黑" w:hint="eastAsia"/>
                <w:sz w:val="22"/>
              </w:rPr>
              <w:t>权益类资产</w:t>
            </w:r>
          </w:p>
        </w:tc>
        <w:tc>
          <w:tcPr>
            <w:tcW w:w="3479" w:type="dxa"/>
            <w:shd w:val="clear" w:color="auto" w:fill="auto"/>
            <w:noWrap/>
            <w:hideMark/>
          </w:tcPr>
          <w:p w:rsidR="00851B20" w:rsidRPr="00851B20" w:rsidRDefault="00851B20" w:rsidP="00851B20">
            <w:pPr>
              <w:rPr>
                <w:rFonts w:ascii="微软雅黑" w:eastAsia="微软雅黑" w:hAnsi="微软雅黑"/>
                <w:sz w:val="22"/>
              </w:rPr>
            </w:pPr>
            <w:r w:rsidRPr="00851B20">
              <w:rPr>
                <w:rFonts w:ascii="微软雅黑" w:eastAsia="微软雅黑" w:hAnsi="微软雅黑" w:hint="eastAsia"/>
                <w:sz w:val="22"/>
              </w:rPr>
              <w:t>20,362,543.81</w:t>
            </w:r>
          </w:p>
        </w:tc>
        <w:tc>
          <w:tcPr>
            <w:tcW w:w="1589" w:type="dxa"/>
            <w:shd w:val="clear" w:color="auto" w:fill="auto"/>
            <w:noWrap/>
            <w:hideMark/>
          </w:tcPr>
          <w:p w:rsidR="00851B20" w:rsidRPr="00851B20" w:rsidRDefault="00851B20" w:rsidP="00851B20">
            <w:pPr>
              <w:rPr>
                <w:rFonts w:ascii="微软雅黑" w:eastAsia="微软雅黑" w:hAnsi="微软雅黑"/>
                <w:sz w:val="22"/>
              </w:rPr>
            </w:pPr>
            <w:r w:rsidRPr="00851B20">
              <w:rPr>
                <w:rFonts w:ascii="微软雅黑" w:eastAsia="微软雅黑" w:hAnsi="微软雅黑" w:hint="eastAsia"/>
                <w:sz w:val="22"/>
              </w:rPr>
              <w:t>1.40%</w:t>
            </w:r>
          </w:p>
        </w:tc>
      </w:tr>
      <w:tr w:rsidR="00851B20" w:rsidRPr="00851B20" w:rsidTr="000F2A8B">
        <w:trPr>
          <w:trHeight w:val="514"/>
        </w:trPr>
        <w:tc>
          <w:tcPr>
            <w:tcW w:w="3299" w:type="dxa"/>
            <w:shd w:val="clear" w:color="auto" w:fill="auto"/>
            <w:noWrap/>
            <w:hideMark/>
          </w:tcPr>
          <w:p w:rsidR="00851B20" w:rsidRPr="00851B20" w:rsidRDefault="00851B20" w:rsidP="00851B20">
            <w:pPr>
              <w:rPr>
                <w:rFonts w:ascii="微软雅黑" w:eastAsia="微软雅黑" w:hAnsi="微软雅黑"/>
                <w:sz w:val="22"/>
              </w:rPr>
            </w:pPr>
            <w:r w:rsidRPr="00851B20">
              <w:rPr>
                <w:rFonts w:ascii="微软雅黑" w:eastAsia="微软雅黑" w:hAnsi="微软雅黑" w:hint="eastAsia"/>
                <w:sz w:val="22"/>
              </w:rPr>
              <w:t>定向增发</w:t>
            </w:r>
          </w:p>
        </w:tc>
        <w:tc>
          <w:tcPr>
            <w:tcW w:w="3479" w:type="dxa"/>
            <w:shd w:val="clear" w:color="auto" w:fill="auto"/>
            <w:noWrap/>
            <w:hideMark/>
          </w:tcPr>
          <w:p w:rsidR="00851B20" w:rsidRPr="00851B20" w:rsidRDefault="00851B20" w:rsidP="00851B20">
            <w:pPr>
              <w:rPr>
                <w:rFonts w:ascii="微软雅黑" w:eastAsia="微软雅黑" w:hAnsi="微软雅黑"/>
                <w:sz w:val="22"/>
              </w:rPr>
            </w:pPr>
            <w:r w:rsidRPr="00851B20">
              <w:rPr>
                <w:rFonts w:ascii="微软雅黑" w:eastAsia="微软雅黑" w:hAnsi="微软雅黑" w:hint="eastAsia"/>
                <w:sz w:val="22"/>
              </w:rPr>
              <w:t>16,700,000.00</w:t>
            </w:r>
          </w:p>
        </w:tc>
        <w:tc>
          <w:tcPr>
            <w:tcW w:w="1589" w:type="dxa"/>
            <w:shd w:val="clear" w:color="auto" w:fill="auto"/>
            <w:noWrap/>
            <w:hideMark/>
          </w:tcPr>
          <w:p w:rsidR="00851B20" w:rsidRPr="00851B20" w:rsidRDefault="00851B20" w:rsidP="00851B20">
            <w:pPr>
              <w:rPr>
                <w:rFonts w:ascii="微软雅黑" w:eastAsia="微软雅黑" w:hAnsi="微软雅黑"/>
                <w:sz w:val="22"/>
              </w:rPr>
            </w:pPr>
            <w:r w:rsidRPr="00851B20">
              <w:rPr>
                <w:rFonts w:ascii="微软雅黑" w:eastAsia="微软雅黑" w:hAnsi="微软雅黑" w:hint="eastAsia"/>
                <w:sz w:val="22"/>
              </w:rPr>
              <w:t>1.14%</w:t>
            </w:r>
          </w:p>
        </w:tc>
      </w:tr>
      <w:tr w:rsidR="00851B20" w:rsidRPr="00851B20" w:rsidTr="000F2A8B">
        <w:trPr>
          <w:trHeight w:val="514"/>
        </w:trPr>
        <w:tc>
          <w:tcPr>
            <w:tcW w:w="3299" w:type="dxa"/>
            <w:shd w:val="clear" w:color="auto" w:fill="auto"/>
            <w:noWrap/>
            <w:hideMark/>
          </w:tcPr>
          <w:p w:rsidR="00851B20" w:rsidRPr="00851B20" w:rsidRDefault="00851B20" w:rsidP="00851B20">
            <w:pPr>
              <w:rPr>
                <w:rFonts w:ascii="微软雅黑" w:eastAsia="微软雅黑" w:hAnsi="微软雅黑"/>
                <w:sz w:val="22"/>
              </w:rPr>
            </w:pPr>
            <w:r w:rsidRPr="00851B20">
              <w:rPr>
                <w:rFonts w:ascii="微软雅黑" w:eastAsia="微软雅黑" w:hAnsi="微软雅黑" w:hint="eastAsia"/>
                <w:sz w:val="22"/>
              </w:rPr>
              <w:t>产业基金</w:t>
            </w:r>
          </w:p>
        </w:tc>
        <w:tc>
          <w:tcPr>
            <w:tcW w:w="3479" w:type="dxa"/>
            <w:shd w:val="clear" w:color="auto" w:fill="auto"/>
            <w:noWrap/>
            <w:hideMark/>
          </w:tcPr>
          <w:p w:rsidR="00851B20" w:rsidRPr="00851B20" w:rsidRDefault="00851B20" w:rsidP="00851B20">
            <w:pPr>
              <w:rPr>
                <w:rFonts w:ascii="微软雅黑" w:eastAsia="微软雅黑" w:hAnsi="微软雅黑"/>
                <w:sz w:val="22"/>
              </w:rPr>
            </w:pPr>
            <w:r w:rsidRPr="00851B20">
              <w:rPr>
                <w:rFonts w:ascii="微软雅黑" w:eastAsia="微软雅黑" w:hAnsi="微软雅黑" w:hint="eastAsia"/>
                <w:sz w:val="22"/>
              </w:rPr>
              <w:t>270,000,000.00</w:t>
            </w:r>
          </w:p>
        </w:tc>
        <w:tc>
          <w:tcPr>
            <w:tcW w:w="1589" w:type="dxa"/>
            <w:shd w:val="clear" w:color="auto" w:fill="auto"/>
            <w:noWrap/>
            <w:hideMark/>
          </w:tcPr>
          <w:p w:rsidR="00851B20" w:rsidRPr="00851B20" w:rsidRDefault="00851B20" w:rsidP="00851B20">
            <w:pPr>
              <w:rPr>
                <w:rFonts w:ascii="微软雅黑" w:eastAsia="微软雅黑" w:hAnsi="微软雅黑"/>
                <w:sz w:val="22"/>
              </w:rPr>
            </w:pPr>
            <w:r w:rsidRPr="00851B20">
              <w:rPr>
                <w:rFonts w:ascii="微软雅黑" w:eastAsia="微软雅黑" w:hAnsi="微软雅黑" w:hint="eastAsia"/>
                <w:sz w:val="22"/>
              </w:rPr>
              <w:t>18.51%</w:t>
            </w:r>
          </w:p>
        </w:tc>
      </w:tr>
      <w:tr w:rsidR="00851B20" w:rsidRPr="00851B20" w:rsidTr="000F2A8B">
        <w:trPr>
          <w:trHeight w:val="514"/>
        </w:trPr>
        <w:tc>
          <w:tcPr>
            <w:tcW w:w="3299" w:type="dxa"/>
            <w:shd w:val="clear" w:color="auto" w:fill="auto"/>
            <w:noWrap/>
            <w:hideMark/>
          </w:tcPr>
          <w:p w:rsidR="00851B20" w:rsidRPr="00851B20" w:rsidRDefault="00851B20" w:rsidP="00851B20">
            <w:pPr>
              <w:rPr>
                <w:rFonts w:ascii="微软雅黑" w:eastAsia="微软雅黑" w:hAnsi="微软雅黑"/>
                <w:sz w:val="22"/>
              </w:rPr>
            </w:pPr>
            <w:r w:rsidRPr="00851B20">
              <w:rPr>
                <w:rFonts w:ascii="微软雅黑" w:eastAsia="微软雅黑" w:hAnsi="微软雅黑" w:hint="eastAsia"/>
                <w:sz w:val="22"/>
              </w:rPr>
              <w:t>非标准化债权资产</w:t>
            </w:r>
          </w:p>
        </w:tc>
        <w:tc>
          <w:tcPr>
            <w:tcW w:w="3479" w:type="dxa"/>
            <w:shd w:val="clear" w:color="auto" w:fill="auto"/>
            <w:noWrap/>
            <w:hideMark/>
          </w:tcPr>
          <w:p w:rsidR="00851B20" w:rsidRPr="00851B20" w:rsidRDefault="00851B20" w:rsidP="00851B20">
            <w:pPr>
              <w:rPr>
                <w:rFonts w:ascii="微软雅黑" w:eastAsia="微软雅黑" w:hAnsi="微软雅黑"/>
                <w:sz w:val="22"/>
              </w:rPr>
            </w:pPr>
            <w:r w:rsidRPr="00851B20">
              <w:rPr>
                <w:rFonts w:ascii="微软雅黑" w:eastAsia="微软雅黑" w:hAnsi="微软雅黑" w:hint="eastAsia"/>
                <w:sz w:val="22"/>
              </w:rPr>
              <w:t>1,150,000,000.00</w:t>
            </w:r>
          </w:p>
        </w:tc>
        <w:tc>
          <w:tcPr>
            <w:tcW w:w="1589" w:type="dxa"/>
            <w:shd w:val="clear" w:color="auto" w:fill="auto"/>
            <w:noWrap/>
            <w:hideMark/>
          </w:tcPr>
          <w:p w:rsidR="00851B20" w:rsidRPr="00851B20" w:rsidRDefault="00851B20" w:rsidP="00851B20">
            <w:pPr>
              <w:rPr>
                <w:rFonts w:ascii="微软雅黑" w:eastAsia="微软雅黑" w:hAnsi="微软雅黑"/>
                <w:sz w:val="22"/>
              </w:rPr>
            </w:pPr>
            <w:r w:rsidRPr="00851B20">
              <w:rPr>
                <w:rFonts w:ascii="微软雅黑" w:eastAsia="微软雅黑" w:hAnsi="微软雅黑" w:hint="eastAsia"/>
                <w:sz w:val="22"/>
              </w:rPr>
              <w:t>78.82%</w:t>
            </w:r>
          </w:p>
        </w:tc>
      </w:tr>
      <w:tr w:rsidR="00851B20" w:rsidRPr="00851B20" w:rsidTr="000F2A8B">
        <w:trPr>
          <w:trHeight w:val="514"/>
        </w:trPr>
        <w:tc>
          <w:tcPr>
            <w:tcW w:w="3299" w:type="dxa"/>
            <w:shd w:val="clear" w:color="auto" w:fill="auto"/>
            <w:noWrap/>
            <w:hideMark/>
          </w:tcPr>
          <w:p w:rsidR="00851B20" w:rsidRPr="00851B20" w:rsidRDefault="00851B20" w:rsidP="00851B20">
            <w:pPr>
              <w:rPr>
                <w:rFonts w:ascii="微软雅黑" w:eastAsia="微软雅黑" w:hAnsi="微软雅黑"/>
                <w:sz w:val="22"/>
              </w:rPr>
            </w:pPr>
            <w:r w:rsidRPr="00851B20">
              <w:rPr>
                <w:rFonts w:ascii="微软雅黑" w:eastAsia="微软雅黑" w:hAnsi="微软雅黑" w:hint="eastAsia"/>
                <w:sz w:val="22"/>
              </w:rPr>
              <w:lastRenderedPageBreak/>
              <w:t>货币市场工具</w:t>
            </w:r>
          </w:p>
        </w:tc>
        <w:tc>
          <w:tcPr>
            <w:tcW w:w="3479" w:type="dxa"/>
            <w:shd w:val="clear" w:color="auto" w:fill="auto"/>
            <w:noWrap/>
            <w:hideMark/>
          </w:tcPr>
          <w:p w:rsidR="00851B20" w:rsidRPr="00851B20" w:rsidRDefault="00851B20" w:rsidP="00851B20">
            <w:pPr>
              <w:rPr>
                <w:rFonts w:ascii="微软雅黑" w:eastAsia="微软雅黑" w:hAnsi="微软雅黑"/>
                <w:sz w:val="22"/>
              </w:rPr>
            </w:pPr>
            <w:r w:rsidRPr="00851B20">
              <w:rPr>
                <w:rFonts w:ascii="微软雅黑" w:eastAsia="微软雅黑" w:hAnsi="微软雅黑" w:hint="eastAsia"/>
                <w:sz w:val="22"/>
              </w:rPr>
              <w:t>1,174,121.12</w:t>
            </w:r>
          </w:p>
        </w:tc>
        <w:tc>
          <w:tcPr>
            <w:tcW w:w="1589" w:type="dxa"/>
            <w:shd w:val="clear" w:color="auto" w:fill="auto"/>
            <w:noWrap/>
            <w:hideMark/>
          </w:tcPr>
          <w:p w:rsidR="00851B20" w:rsidRPr="00851B20" w:rsidRDefault="00851B20" w:rsidP="00851B20">
            <w:pPr>
              <w:rPr>
                <w:rFonts w:ascii="微软雅黑" w:eastAsia="微软雅黑" w:hAnsi="微软雅黑"/>
                <w:sz w:val="22"/>
              </w:rPr>
            </w:pPr>
            <w:r w:rsidRPr="00851B20">
              <w:rPr>
                <w:rFonts w:ascii="微软雅黑" w:eastAsia="微软雅黑" w:hAnsi="微软雅黑" w:hint="eastAsia"/>
                <w:sz w:val="22"/>
              </w:rPr>
              <w:t>0.08%</w:t>
            </w:r>
          </w:p>
        </w:tc>
      </w:tr>
      <w:tr w:rsidR="00851B20" w:rsidRPr="00851B20" w:rsidTr="000F2A8B">
        <w:trPr>
          <w:trHeight w:val="514"/>
        </w:trPr>
        <w:tc>
          <w:tcPr>
            <w:tcW w:w="3299" w:type="dxa"/>
            <w:shd w:val="clear" w:color="auto" w:fill="auto"/>
            <w:noWrap/>
            <w:hideMark/>
          </w:tcPr>
          <w:p w:rsidR="00851B20" w:rsidRPr="00851B20" w:rsidRDefault="00851B20" w:rsidP="00851B20">
            <w:pPr>
              <w:rPr>
                <w:rFonts w:ascii="微软雅黑" w:eastAsia="微软雅黑" w:hAnsi="微软雅黑"/>
                <w:sz w:val="22"/>
              </w:rPr>
            </w:pPr>
            <w:r w:rsidRPr="00851B20">
              <w:rPr>
                <w:rFonts w:ascii="微软雅黑" w:eastAsia="微软雅黑" w:hAnsi="微软雅黑" w:hint="eastAsia"/>
                <w:sz w:val="22"/>
              </w:rPr>
              <w:t>存款</w:t>
            </w:r>
          </w:p>
        </w:tc>
        <w:tc>
          <w:tcPr>
            <w:tcW w:w="3479" w:type="dxa"/>
            <w:shd w:val="clear" w:color="auto" w:fill="auto"/>
            <w:noWrap/>
            <w:hideMark/>
          </w:tcPr>
          <w:p w:rsidR="00851B20" w:rsidRPr="00851B20" w:rsidRDefault="00851B20" w:rsidP="00851B20">
            <w:pPr>
              <w:rPr>
                <w:rFonts w:ascii="微软雅黑" w:eastAsia="微软雅黑" w:hAnsi="微软雅黑"/>
                <w:sz w:val="22"/>
              </w:rPr>
            </w:pPr>
            <w:r w:rsidRPr="00851B20">
              <w:rPr>
                <w:rFonts w:ascii="微软雅黑" w:eastAsia="微软雅黑" w:hAnsi="微软雅黑" w:hint="eastAsia"/>
                <w:sz w:val="22"/>
              </w:rPr>
              <w:t>813,098.37</w:t>
            </w:r>
          </w:p>
        </w:tc>
        <w:tc>
          <w:tcPr>
            <w:tcW w:w="1589" w:type="dxa"/>
            <w:shd w:val="clear" w:color="auto" w:fill="auto"/>
            <w:noWrap/>
            <w:hideMark/>
          </w:tcPr>
          <w:p w:rsidR="00851B20" w:rsidRPr="00851B20" w:rsidRDefault="00851B20" w:rsidP="00851B20">
            <w:pPr>
              <w:rPr>
                <w:rFonts w:ascii="微软雅黑" w:eastAsia="微软雅黑" w:hAnsi="微软雅黑"/>
                <w:sz w:val="22"/>
              </w:rPr>
            </w:pPr>
            <w:r w:rsidRPr="00851B20">
              <w:rPr>
                <w:rFonts w:ascii="微软雅黑" w:eastAsia="微软雅黑" w:hAnsi="微软雅黑" w:hint="eastAsia"/>
                <w:sz w:val="22"/>
              </w:rPr>
              <w:t>0.06%</w:t>
            </w:r>
          </w:p>
        </w:tc>
      </w:tr>
      <w:tr w:rsidR="00851B20" w:rsidRPr="00851B20" w:rsidTr="000F2A8B">
        <w:trPr>
          <w:trHeight w:val="514"/>
        </w:trPr>
        <w:tc>
          <w:tcPr>
            <w:tcW w:w="3299" w:type="dxa"/>
            <w:shd w:val="clear" w:color="auto" w:fill="auto"/>
            <w:noWrap/>
            <w:hideMark/>
          </w:tcPr>
          <w:p w:rsidR="00851B20" w:rsidRPr="00851B20" w:rsidRDefault="00851B20" w:rsidP="00851B20">
            <w:pPr>
              <w:rPr>
                <w:rFonts w:ascii="微软雅黑" w:eastAsia="微软雅黑" w:hAnsi="微软雅黑"/>
                <w:sz w:val="22"/>
              </w:rPr>
            </w:pPr>
            <w:r w:rsidRPr="00851B20">
              <w:rPr>
                <w:rFonts w:ascii="微软雅黑" w:eastAsia="微软雅黑" w:hAnsi="微软雅黑" w:hint="eastAsia"/>
                <w:sz w:val="22"/>
              </w:rPr>
              <w:t>合计</w:t>
            </w:r>
          </w:p>
        </w:tc>
        <w:tc>
          <w:tcPr>
            <w:tcW w:w="3479" w:type="dxa"/>
            <w:shd w:val="clear" w:color="auto" w:fill="auto"/>
            <w:noWrap/>
            <w:hideMark/>
          </w:tcPr>
          <w:p w:rsidR="00851B20" w:rsidRPr="00851B20" w:rsidRDefault="00851B20" w:rsidP="00851B20">
            <w:pPr>
              <w:rPr>
                <w:rFonts w:ascii="微软雅黑" w:eastAsia="微软雅黑" w:hAnsi="微软雅黑"/>
                <w:sz w:val="22"/>
              </w:rPr>
            </w:pPr>
            <w:r w:rsidRPr="00851B20">
              <w:rPr>
                <w:rFonts w:ascii="微软雅黑" w:eastAsia="微软雅黑" w:hAnsi="微软雅黑" w:hint="eastAsia"/>
                <w:sz w:val="22"/>
              </w:rPr>
              <w:t>1,459,049,763.30</w:t>
            </w:r>
          </w:p>
        </w:tc>
        <w:tc>
          <w:tcPr>
            <w:tcW w:w="1589" w:type="dxa"/>
            <w:shd w:val="clear" w:color="auto" w:fill="auto"/>
            <w:noWrap/>
            <w:hideMark/>
          </w:tcPr>
          <w:p w:rsidR="00851B20" w:rsidRPr="00851B20" w:rsidRDefault="00851B20" w:rsidP="00851B20">
            <w:pPr>
              <w:rPr>
                <w:rFonts w:ascii="微软雅黑" w:eastAsia="微软雅黑" w:hAnsi="微软雅黑"/>
                <w:sz w:val="22"/>
              </w:rPr>
            </w:pPr>
            <w:r w:rsidRPr="00851B20">
              <w:rPr>
                <w:rFonts w:ascii="微软雅黑" w:eastAsia="微软雅黑" w:hAnsi="微软雅黑" w:hint="eastAsia"/>
                <w:sz w:val="22"/>
              </w:rPr>
              <w:t>100.00%</w:t>
            </w:r>
          </w:p>
        </w:tc>
      </w:tr>
    </w:tbl>
    <w:p w:rsidR="00780D12" w:rsidRPr="00082172" w:rsidRDefault="00851B20" w:rsidP="00082172">
      <w:pPr>
        <w:autoSpaceDE w:val="0"/>
        <w:autoSpaceDN w:val="0"/>
        <w:adjustRightInd w:val="0"/>
        <w:spacing w:line="360" w:lineRule="auto"/>
        <w:jc w:val="left"/>
        <w:rPr>
          <w:rFonts w:ascii="宋体" w:hAnsi="宋体"/>
          <w:bCs/>
          <w:color w:val="000000"/>
          <w:kern w:val="0"/>
          <w:sz w:val="24"/>
          <w:szCs w:val="24"/>
        </w:rPr>
      </w:pPr>
      <w:r>
        <w:rPr>
          <w:noProof/>
        </w:rPr>
        <w:drawing>
          <wp:inline distT="0" distB="0" distL="0" distR="0" wp14:anchorId="591CCA0A" wp14:editId="02334102">
            <wp:extent cx="5276850" cy="29337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74AD0" w:rsidRPr="00571097" w:rsidRDefault="00940BE1" w:rsidP="00F55D3D">
      <w:pPr>
        <w:autoSpaceDE w:val="0"/>
        <w:autoSpaceDN w:val="0"/>
        <w:adjustRightInd w:val="0"/>
        <w:spacing w:line="360" w:lineRule="auto"/>
        <w:jc w:val="left"/>
        <w:rPr>
          <w:rFonts w:ascii="微软雅黑" w:eastAsia="微软雅黑" w:hAnsi="微软雅黑"/>
          <w:b/>
          <w:bCs/>
          <w:color w:val="000000"/>
          <w:kern w:val="0"/>
          <w:sz w:val="24"/>
          <w:szCs w:val="24"/>
        </w:rPr>
      </w:pPr>
      <w:r>
        <w:rPr>
          <w:rFonts w:ascii="微软雅黑" w:eastAsia="微软雅黑" w:hAnsi="微软雅黑"/>
          <w:b/>
          <w:bCs/>
          <w:color w:val="000000"/>
          <w:kern w:val="0"/>
          <w:sz w:val="24"/>
          <w:szCs w:val="24"/>
        </w:rPr>
        <w:t>4</w:t>
      </w:r>
      <w:r w:rsidRPr="00490CB5">
        <w:rPr>
          <w:rFonts w:ascii="微软雅黑" w:eastAsia="微软雅黑" w:hAnsi="微软雅黑"/>
          <w:b/>
          <w:bCs/>
          <w:color w:val="000000"/>
          <w:kern w:val="0"/>
          <w:sz w:val="24"/>
          <w:szCs w:val="24"/>
        </w:rPr>
        <w:t>.</w:t>
      </w:r>
      <w:r>
        <w:rPr>
          <w:rFonts w:ascii="微软雅黑" w:eastAsia="微软雅黑" w:hAnsi="微软雅黑"/>
          <w:b/>
          <w:bCs/>
          <w:color w:val="000000"/>
          <w:kern w:val="0"/>
          <w:sz w:val="24"/>
          <w:szCs w:val="24"/>
        </w:rPr>
        <w:t xml:space="preserve">2  </w:t>
      </w:r>
      <w:r w:rsidR="00CD2923" w:rsidRPr="00940BE1">
        <w:rPr>
          <w:rFonts w:ascii="微软雅黑" w:eastAsia="微软雅黑" w:hAnsi="微软雅黑" w:hint="eastAsia"/>
          <w:b/>
          <w:bCs/>
          <w:color w:val="000000"/>
          <w:kern w:val="0"/>
          <w:sz w:val="24"/>
          <w:szCs w:val="24"/>
        </w:rPr>
        <w:t>前十大</w:t>
      </w:r>
      <w:r w:rsidR="00CD2923" w:rsidRPr="00940BE1">
        <w:rPr>
          <w:rFonts w:ascii="微软雅黑" w:eastAsia="微软雅黑" w:hAnsi="微软雅黑"/>
          <w:b/>
          <w:bCs/>
          <w:color w:val="000000"/>
          <w:kern w:val="0"/>
          <w:sz w:val="24"/>
          <w:szCs w:val="24"/>
        </w:rPr>
        <w:t>资产构成</w:t>
      </w:r>
    </w:p>
    <w:tbl>
      <w:tblPr>
        <w:tblW w:w="9425" w:type="dxa"/>
        <w:tblLook w:val="04A0" w:firstRow="1" w:lastRow="0" w:firstColumn="1" w:lastColumn="0" w:noHBand="0" w:noVBand="1"/>
      </w:tblPr>
      <w:tblGrid>
        <w:gridCol w:w="6238"/>
        <w:gridCol w:w="2136"/>
        <w:gridCol w:w="1051"/>
      </w:tblGrid>
      <w:tr w:rsidR="00974AD0" w:rsidRPr="0026438E" w:rsidTr="0026438E">
        <w:trPr>
          <w:trHeight w:val="285"/>
        </w:trPr>
        <w:tc>
          <w:tcPr>
            <w:tcW w:w="6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74AD0" w:rsidRPr="0026438E" w:rsidRDefault="00974AD0" w:rsidP="00F55D3D">
            <w:pPr>
              <w:widowControl/>
              <w:spacing w:line="360" w:lineRule="auto"/>
              <w:jc w:val="left"/>
              <w:rPr>
                <w:rFonts w:ascii="微软雅黑" w:eastAsia="微软雅黑" w:hAnsi="微软雅黑" w:cs="宋体"/>
                <w:color w:val="000000"/>
                <w:kern w:val="0"/>
                <w:sz w:val="24"/>
                <w:szCs w:val="24"/>
              </w:rPr>
            </w:pPr>
            <w:r w:rsidRPr="0026438E">
              <w:rPr>
                <w:rFonts w:ascii="微软雅黑" w:eastAsia="微软雅黑" w:hAnsi="微软雅黑" w:cs="宋体" w:hint="eastAsia"/>
                <w:color w:val="000000"/>
                <w:kern w:val="0"/>
                <w:sz w:val="24"/>
                <w:szCs w:val="24"/>
              </w:rPr>
              <w:t>资产名称</w:t>
            </w:r>
          </w:p>
        </w:tc>
        <w:tc>
          <w:tcPr>
            <w:tcW w:w="213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974AD0" w:rsidRPr="0026438E" w:rsidRDefault="00974AD0" w:rsidP="00F55D3D">
            <w:pPr>
              <w:widowControl/>
              <w:spacing w:line="360" w:lineRule="auto"/>
              <w:jc w:val="left"/>
              <w:rPr>
                <w:rFonts w:ascii="微软雅黑" w:eastAsia="微软雅黑" w:hAnsi="微软雅黑" w:cs="宋体"/>
                <w:color w:val="000000"/>
                <w:kern w:val="0"/>
                <w:sz w:val="24"/>
                <w:szCs w:val="24"/>
              </w:rPr>
            </w:pPr>
            <w:r w:rsidRPr="0026438E">
              <w:rPr>
                <w:rFonts w:ascii="微软雅黑" w:eastAsia="微软雅黑" w:hAnsi="微软雅黑" w:cs="宋体" w:hint="eastAsia"/>
                <w:color w:val="000000"/>
                <w:kern w:val="0"/>
                <w:sz w:val="24"/>
                <w:szCs w:val="24"/>
              </w:rPr>
              <w:t>资产份额</w:t>
            </w:r>
          </w:p>
        </w:tc>
        <w:tc>
          <w:tcPr>
            <w:tcW w:w="105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974AD0" w:rsidRPr="0026438E" w:rsidRDefault="00974AD0" w:rsidP="00F55D3D">
            <w:pPr>
              <w:widowControl/>
              <w:spacing w:line="360" w:lineRule="auto"/>
              <w:jc w:val="left"/>
              <w:rPr>
                <w:rFonts w:ascii="微软雅黑" w:eastAsia="微软雅黑" w:hAnsi="微软雅黑" w:cs="宋体"/>
                <w:color w:val="000000"/>
                <w:kern w:val="0"/>
                <w:sz w:val="24"/>
                <w:szCs w:val="24"/>
              </w:rPr>
            </w:pPr>
            <w:r w:rsidRPr="0026438E">
              <w:rPr>
                <w:rFonts w:ascii="微软雅黑" w:eastAsia="微软雅黑" w:hAnsi="微软雅黑" w:cs="宋体" w:hint="eastAsia"/>
                <w:color w:val="000000"/>
                <w:kern w:val="0"/>
                <w:sz w:val="24"/>
                <w:szCs w:val="24"/>
              </w:rPr>
              <w:t>占比</w:t>
            </w:r>
          </w:p>
        </w:tc>
      </w:tr>
      <w:tr w:rsidR="00851B20" w:rsidRPr="0026438E" w:rsidTr="00234712">
        <w:trPr>
          <w:trHeight w:val="70"/>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rsidR="00851B20" w:rsidRPr="00851B20" w:rsidRDefault="00851B20" w:rsidP="00851B20">
            <w:pPr>
              <w:spacing w:line="360" w:lineRule="auto"/>
              <w:rPr>
                <w:rFonts w:ascii="微软雅黑" w:eastAsia="微软雅黑" w:hAnsi="微软雅黑"/>
                <w:sz w:val="24"/>
                <w:szCs w:val="24"/>
              </w:rPr>
            </w:pPr>
            <w:r w:rsidRPr="00851B20">
              <w:rPr>
                <w:rFonts w:ascii="微软雅黑" w:eastAsia="微软雅黑" w:hAnsi="微软雅黑" w:hint="eastAsia"/>
                <w:sz w:val="24"/>
                <w:szCs w:val="24"/>
              </w:rPr>
              <w:t>平安证券博大新元1号定向资产管理计划</w:t>
            </w:r>
          </w:p>
        </w:tc>
        <w:tc>
          <w:tcPr>
            <w:tcW w:w="2136" w:type="dxa"/>
            <w:tcBorders>
              <w:top w:val="nil"/>
              <w:left w:val="nil"/>
              <w:bottom w:val="single" w:sz="4" w:space="0" w:color="auto"/>
              <w:right w:val="single" w:sz="4" w:space="0" w:color="auto"/>
            </w:tcBorders>
            <w:shd w:val="clear" w:color="auto" w:fill="auto"/>
            <w:noWrap/>
            <w:vAlign w:val="center"/>
            <w:hideMark/>
          </w:tcPr>
          <w:p w:rsidR="00851B20" w:rsidRPr="00851B20" w:rsidRDefault="00851B20" w:rsidP="00851B20">
            <w:pPr>
              <w:spacing w:line="360" w:lineRule="auto"/>
              <w:rPr>
                <w:rFonts w:ascii="微软雅黑" w:eastAsia="微软雅黑" w:hAnsi="微软雅黑"/>
                <w:sz w:val="24"/>
                <w:szCs w:val="24"/>
              </w:rPr>
            </w:pPr>
            <w:r w:rsidRPr="00851B20">
              <w:rPr>
                <w:rFonts w:ascii="微软雅黑" w:eastAsia="微软雅黑" w:hAnsi="微软雅黑"/>
                <w:sz w:val="24"/>
                <w:szCs w:val="24"/>
              </w:rPr>
              <w:t>1,150,000,000.00</w:t>
            </w:r>
          </w:p>
        </w:tc>
        <w:tc>
          <w:tcPr>
            <w:tcW w:w="1051" w:type="dxa"/>
            <w:tcBorders>
              <w:top w:val="nil"/>
              <w:left w:val="nil"/>
              <w:bottom w:val="single" w:sz="4" w:space="0" w:color="auto"/>
              <w:right w:val="single" w:sz="4" w:space="0" w:color="auto"/>
            </w:tcBorders>
            <w:shd w:val="clear" w:color="auto" w:fill="auto"/>
            <w:noWrap/>
            <w:vAlign w:val="center"/>
            <w:hideMark/>
          </w:tcPr>
          <w:p w:rsidR="00851B20" w:rsidRPr="00851B20" w:rsidRDefault="00851B20" w:rsidP="00851B20">
            <w:pPr>
              <w:spacing w:line="360" w:lineRule="auto"/>
              <w:rPr>
                <w:rFonts w:ascii="微软雅黑" w:eastAsia="微软雅黑" w:hAnsi="微软雅黑"/>
                <w:sz w:val="24"/>
                <w:szCs w:val="24"/>
              </w:rPr>
            </w:pPr>
            <w:r w:rsidRPr="00851B20">
              <w:rPr>
                <w:rFonts w:ascii="微软雅黑" w:eastAsia="微软雅黑" w:hAnsi="微软雅黑"/>
                <w:sz w:val="24"/>
                <w:szCs w:val="24"/>
              </w:rPr>
              <w:t>78.82%</w:t>
            </w:r>
          </w:p>
        </w:tc>
      </w:tr>
      <w:tr w:rsidR="00851B20" w:rsidRPr="0026438E" w:rsidTr="00234712">
        <w:trPr>
          <w:trHeight w:val="31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rsidR="00851B20" w:rsidRPr="00851B20" w:rsidRDefault="00851B20" w:rsidP="00851B20">
            <w:pPr>
              <w:spacing w:line="360" w:lineRule="auto"/>
              <w:rPr>
                <w:rFonts w:ascii="微软雅黑" w:eastAsia="微软雅黑" w:hAnsi="微软雅黑"/>
                <w:sz w:val="24"/>
                <w:szCs w:val="24"/>
              </w:rPr>
            </w:pPr>
            <w:r w:rsidRPr="00851B20">
              <w:rPr>
                <w:rFonts w:ascii="微软雅黑" w:eastAsia="微软雅黑" w:hAnsi="微软雅黑" w:hint="eastAsia"/>
                <w:sz w:val="24"/>
                <w:szCs w:val="24"/>
              </w:rPr>
              <w:t>成都万年长青企业管理合伙企业（有限合伙）</w:t>
            </w:r>
          </w:p>
        </w:tc>
        <w:tc>
          <w:tcPr>
            <w:tcW w:w="2136" w:type="dxa"/>
            <w:tcBorders>
              <w:top w:val="nil"/>
              <w:left w:val="nil"/>
              <w:bottom w:val="single" w:sz="4" w:space="0" w:color="auto"/>
              <w:right w:val="single" w:sz="4" w:space="0" w:color="auto"/>
            </w:tcBorders>
            <w:shd w:val="clear" w:color="auto" w:fill="auto"/>
            <w:noWrap/>
            <w:vAlign w:val="center"/>
            <w:hideMark/>
          </w:tcPr>
          <w:p w:rsidR="00851B20" w:rsidRPr="00851B20" w:rsidRDefault="00851B20" w:rsidP="00851B20">
            <w:pPr>
              <w:spacing w:line="360" w:lineRule="auto"/>
              <w:rPr>
                <w:rFonts w:ascii="微软雅黑" w:eastAsia="微软雅黑" w:hAnsi="微软雅黑"/>
                <w:sz w:val="24"/>
                <w:szCs w:val="24"/>
              </w:rPr>
            </w:pPr>
            <w:r w:rsidRPr="00851B20">
              <w:rPr>
                <w:rFonts w:ascii="微软雅黑" w:eastAsia="微软雅黑" w:hAnsi="微软雅黑"/>
                <w:sz w:val="24"/>
                <w:szCs w:val="24"/>
              </w:rPr>
              <w:t>270,000,000.00</w:t>
            </w:r>
          </w:p>
        </w:tc>
        <w:tc>
          <w:tcPr>
            <w:tcW w:w="1051" w:type="dxa"/>
            <w:tcBorders>
              <w:top w:val="nil"/>
              <w:left w:val="nil"/>
              <w:bottom w:val="single" w:sz="4" w:space="0" w:color="auto"/>
              <w:right w:val="single" w:sz="4" w:space="0" w:color="auto"/>
            </w:tcBorders>
            <w:shd w:val="clear" w:color="auto" w:fill="auto"/>
            <w:noWrap/>
            <w:vAlign w:val="center"/>
            <w:hideMark/>
          </w:tcPr>
          <w:p w:rsidR="00851B20" w:rsidRPr="00851B20" w:rsidRDefault="00851B20" w:rsidP="00851B20">
            <w:pPr>
              <w:spacing w:line="360" w:lineRule="auto"/>
              <w:rPr>
                <w:rFonts w:ascii="微软雅黑" w:eastAsia="微软雅黑" w:hAnsi="微软雅黑"/>
                <w:sz w:val="24"/>
                <w:szCs w:val="24"/>
              </w:rPr>
            </w:pPr>
            <w:r w:rsidRPr="00851B20">
              <w:rPr>
                <w:rFonts w:ascii="微软雅黑" w:eastAsia="微软雅黑" w:hAnsi="微软雅黑"/>
                <w:sz w:val="24"/>
                <w:szCs w:val="24"/>
              </w:rPr>
              <w:t>18.51%</w:t>
            </w:r>
          </w:p>
        </w:tc>
      </w:tr>
      <w:tr w:rsidR="00851B20" w:rsidRPr="0026438E" w:rsidTr="00234712">
        <w:trPr>
          <w:trHeight w:val="31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rsidR="00851B20" w:rsidRPr="00851B20" w:rsidRDefault="00851B20" w:rsidP="00851B20">
            <w:pPr>
              <w:spacing w:line="360" w:lineRule="auto"/>
              <w:rPr>
                <w:rFonts w:ascii="微软雅黑" w:eastAsia="微软雅黑" w:hAnsi="微软雅黑"/>
                <w:sz w:val="24"/>
                <w:szCs w:val="24"/>
              </w:rPr>
            </w:pPr>
            <w:r w:rsidRPr="00851B20">
              <w:rPr>
                <w:rFonts w:ascii="微软雅黑" w:eastAsia="微软雅黑" w:hAnsi="微软雅黑" w:hint="eastAsia"/>
                <w:sz w:val="24"/>
                <w:szCs w:val="24"/>
              </w:rPr>
              <w:t>广发证券平广3号定向资产管理计划</w:t>
            </w:r>
          </w:p>
        </w:tc>
        <w:tc>
          <w:tcPr>
            <w:tcW w:w="2136" w:type="dxa"/>
            <w:tcBorders>
              <w:top w:val="nil"/>
              <w:left w:val="nil"/>
              <w:bottom w:val="single" w:sz="4" w:space="0" w:color="auto"/>
              <w:right w:val="single" w:sz="4" w:space="0" w:color="auto"/>
            </w:tcBorders>
            <w:shd w:val="clear" w:color="auto" w:fill="auto"/>
            <w:noWrap/>
            <w:vAlign w:val="center"/>
            <w:hideMark/>
          </w:tcPr>
          <w:p w:rsidR="00851B20" w:rsidRPr="00851B20" w:rsidRDefault="00851B20" w:rsidP="00851B20">
            <w:pPr>
              <w:spacing w:line="360" w:lineRule="auto"/>
              <w:rPr>
                <w:rFonts w:ascii="微软雅黑" w:eastAsia="微软雅黑" w:hAnsi="微软雅黑"/>
                <w:sz w:val="24"/>
                <w:szCs w:val="24"/>
              </w:rPr>
            </w:pPr>
            <w:r w:rsidRPr="00851B20">
              <w:rPr>
                <w:rFonts w:ascii="微软雅黑" w:eastAsia="微软雅黑" w:hAnsi="微软雅黑"/>
                <w:sz w:val="24"/>
                <w:szCs w:val="24"/>
              </w:rPr>
              <w:t>20,270,007.76</w:t>
            </w:r>
          </w:p>
        </w:tc>
        <w:tc>
          <w:tcPr>
            <w:tcW w:w="1051" w:type="dxa"/>
            <w:tcBorders>
              <w:top w:val="nil"/>
              <w:left w:val="nil"/>
              <w:bottom w:val="single" w:sz="4" w:space="0" w:color="auto"/>
              <w:right w:val="single" w:sz="4" w:space="0" w:color="auto"/>
            </w:tcBorders>
            <w:shd w:val="clear" w:color="auto" w:fill="auto"/>
            <w:noWrap/>
            <w:vAlign w:val="center"/>
            <w:hideMark/>
          </w:tcPr>
          <w:p w:rsidR="00851B20" w:rsidRPr="00851B20" w:rsidRDefault="00851B20" w:rsidP="00851B20">
            <w:pPr>
              <w:spacing w:line="360" w:lineRule="auto"/>
              <w:rPr>
                <w:rFonts w:ascii="微软雅黑" w:eastAsia="微软雅黑" w:hAnsi="微软雅黑"/>
                <w:sz w:val="24"/>
                <w:szCs w:val="24"/>
              </w:rPr>
            </w:pPr>
            <w:r w:rsidRPr="00851B20">
              <w:rPr>
                <w:rFonts w:ascii="微软雅黑" w:eastAsia="微软雅黑" w:hAnsi="微软雅黑"/>
                <w:sz w:val="24"/>
                <w:szCs w:val="24"/>
              </w:rPr>
              <w:t>1.39%</w:t>
            </w:r>
          </w:p>
        </w:tc>
      </w:tr>
      <w:tr w:rsidR="00851B20" w:rsidRPr="0026438E" w:rsidTr="00234712">
        <w:trPr>
          <w:trHeight w:val="31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rsidR="00851B20" w:rsidRPr="00851B20" w:rsidRDefault="00851B20" w:rsidP="00851B20">
            <w:pPr>
              <w:spacing w:line="360" w:lineRule="auto"/>
              <w:rPr>
                <w:rFonts w:ascii="微软雅黑" w:eastAsia="微软雅黑" w:hAnsi="微软雅黑"/>
                <w:sz w:val="24"/>
                <w:szCs w:val="24"/>
              </w:rPr>
            </w:pPr>
            <w:r w:rsidRPr="00851B20">
              <w:rPr>
                <w:rFonts w:ascii="微软雅黑" w:eastAsia="微软雅黑" w:hAnsi="微软雅黑" w:hint="eastAsia"/>
                <w:sz w:val="24"/>
                <w:szCs w:val="24"/>
              </w:rPr>
              <w:t>【天弘基金定增基金】天津信托-弘盈6号集合资金信托计划20161117</w:t>
            </w:r>
          </w:p>
        </w:tc>
        <w:tc>
          <w:tcPr>
            <w:tcW w:w="2136" w:type="dxa"/>
            <w:tcBorders>
              <w:top w:val="nil"/>
              <w:left w:val="nil"/>
              <w:bottom w:val="single" w:sz="4" w:space="0" w:color="auto"/>
              <w:right w:val="single" w:sz="4" w:space="0" w:color="auto"/>
            </w:tcBorders>
            <w:shd w:val="clear" w:color="auto" w:fill="auto"/>
            <w:noWrap/>
            <w:vAlign w:val="center"/>
            <w:hideMark/>
          </w:tcPr>
          <w:p w:rsidR="00851B20" w:rsidRPr="00851B20" w:rsidRDefault="00851B20" w:rsidP="00851B20">
            <w:pPr>
              <w:spacing w:line="360" w:lineRule="auto"/>
              <w:rPr>
                <w:rFonts w:ascii="微软雅黑" w:eastAsia="微软雅黑" w:hAnsi="微软雅黑"/>
                <w:sz w:val="24"/>
                <w:szCs w:val="24"/>
              </w:rPr>
            </w:pPr>
            <w:r w:rsidRPr="00851B20">
              <w:rPr>
                <w:rFonts w:ascii="微软雅黑" w:eastAsia="微软雅黑" w:hAnsi="微软雅黑"/>
                <w:sz w:val="24"/>
                <w:szCs w:val="24"/>
              </w:rPr>
              <w:t>16,700,000.00</w:t>
            </w:r>
          </w:p>
        </w:tc>
        <w:tc>
          <w:tcPr>
            <w:tcW w:w="1051" w:type="dxa"/>
            <w:tcBorders>
              <w:top w:val="nil"/>
              <w:left w:val="nil"/>
              <w:bottom w:val="single" w:sz="4" w:space="0" w:color="auto"/>
              <w:right w:val="single" w:sz="4" w:space="0" w:color="auto"/>
            </w:tcBorders>
            <w:shd w:val="clear" w:color="auto" w:fill="auto"/>
            <w:noWrap/>
            <w:vAlign w:val="center"/>
            <w:hideMark/>
          </w:tcPr>
          <w:p w:rsidR="00851B20" w:rsidRPr="00851B20" w:rsidRDefault="00851B20" w:rsidP="00851B20">
            <w:pPr>
              <w:spacing w:line="360" w:lineRule="auto"/>
              <w:rPr>
                <w:rFonts w:ascii="微软雅黑" w:eastAsia="微软雅黑" w:hAnsi="微软雅黑"/>
                <w:sz w:val="24"/>
                <w:szCs w:val="24"/>
              </w:rPr>
            </w:pPr>
            <w:r w:rsidRPr="00851B20">
              <w:rPr>
                <w:rFonts w:ascii="微软雅黑" w:eastAsia="微软雅黑" w:hAnsi="微软雅黑"/>
                <w:sz w:val="24"/>
                <w:szCs w:val="24"/>
              </w:rPr>
              <w:t>1.14%</w:t>
            </w:r>
          </w:p>
        </w:tc>
      </w:tr>
      <w:tr w:rsidR="00851B20" w:rsidRPr="0026438E" w:rsidTr="00234712">
        <w:trPr>
          <w:trHeight w:val="31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rsidR="00851B20" w:rsidRPr="00851B20" w:rsidRDefault="00851B20" w:rsidP="00851B20">
            <w:pPr>
              <w:spacing w:line="360" w:lineRule="auto"/>
              <w:rPr>
                <w:rFonts w:ascii="微软雅黑" w:eastAsia="微软雅黑" w:hAnsi="微软雅黑"/>
                <w:sz w:val="24"/>
                <w:szCs w:val="24"/>
              </w:rPr>
            </w:pPr>
            <w:r w:rsidRPr="00851B20">
              <w:rPr>
                <w:rFonts w:ascii="微软雅黑" w:eastAsia="微软雅黑" w:hAnsi="微软雅黑" w:hint="eastAsia"/>
                <w:sz w:val="24"/>
                <w:szCs w:val="24"/>
              </w:rPr>
              <w:t>现金</w:t>
            </w:r>
          </w:p>
        </w:tc>
        <w:tc>
          <w:tcPr>
            <w:tcW w:w="2136" w:type="dxa"/>
            <w:tcBorders>
              <w:top w:val="nil"/>
              <w:left w:val="nil"/>
              <w:bottom w:val="single" w:sz="4" w:space="0" w:color="auto"/>
              <w:right w:val="single" w:sz="4" w:space="0" w:color="auto"/>
            </w:tcBorders>
            <w:shd w:val="clear" w:color="auto" w:fill="auto"/>
            <w:noWrap/>
            <w:vAlign w:val="center"/>
            <w:hideMark/>
          </w:tcPr>
          <w:p w:rsidR="00851B20" w:rsidRPr="00851B20" w:rsidRDefault="00851B20" w:rsidP="00851B20">
            <w:pPr>
              <w:spacing w:line="360" w:lineRule="auto"/>
              <w:rPr>
                <w:rFonts w:ascii="微软雅黑" w:eastAsia="微软雅黑" w:hAnsi="微软雅黑"/>
                <w:sz w:val="24"/>
                <w:szCs w:val="24"/>
              </w:rPr>
            </w:pPr>
            <w:r w:rsidRPr="00851B20">
              <w:rPr>
                <w:rFonts w:ascii="微软雅黑" w:eastAsia="微软雅黑" w:hAnsi="微软雅黑"/>
                <w:sz w:val="24"/>
                <w:szCs w:val="24"/>
              </w:rPr>
              <w:t>813,098.37</w:t>
            </w:r>
          </w:p>
        </w:tc>
        <w:tc>
          <w:tcPr>
            <w:tcW w:w="1051" w:type="dxa"/>
            <w:tcBorders>
              <w:top w:val="nil"/>
              <w:left w:val="nil"/>
              <w:bottom w:val="single" w:sz="4" w:space="0" w:color="auto"/>
              <w:right w:val="single" w:sz="4" w:space="0" w:color="auto"/>
            </w:tcBorders>
            <w:shd w:val="clear" w:color="auto" w:fill="auto"/>
            <w:noWrap/>
            <w:vAlign w:val="center"/>
            <w:hideMark/>
          </w:tcPr>
          <w:p w:rsidR="00851B20" w:rsidRPr="00851B20" w:rsidRDefault="00851B20" w:rsidP="00851B20">
            <w:pPr>
              <w:spacing w:line="360" w:lineRule="auto"/>
              <w:rPr>
                <w:rFonts w:ascii="微软雅黑" w:eastAsia="微软雅黑" w:hAnsi="微软雅黑"/>
                <w:sz w:val="24"/>
                <w:szCs w:val="24"/>
              </w:rPr>
            </w:pPr>
            <w:r w:rsidRPr="00851B20">
              <w:rPr>
                <w:rFonts w:ascii="微软雅黑" w:eastAsia="微软雅黑" w:hAnsi="微软雅黑"/>
                <w:sz w:val="24"/>
                <w:szCs w:val="24"/>
              </w:rPr>
              <w:t>0.06%</w:t>
            </w:r>
          </w:p>
        </w:tc>
      </w:tr>
      <w:tr w:rsidR="00851B20" w:rsidRPr="0026438E" w:rsidTr="00234712">
        <w:trPr>
          <w:trHeight w:val="31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rsidR="00851B20" w:rsidRPr="00851B20" w:rsidRDefault="00851B20" w:rsidP="00851B20">
            <w:pPr>
              <w:spacing w:line="360" w:lineRule="auto"/>
              <w:rPr>
                <w:rFonts w:ascii="微软雅黑" w:eastAsia="微软雅黑" w:hAnsi="微软雅黑"/>
                <w:sz w:val="24"/>
                <w:szCs w:val="24"/>
              </w:rPr>
            </w:pPr>
            <w:r w:rsidRPr="00851B20">
              <w:rPr>
                <w:rFonts w:ascii="微软雅黑" w:eastAsia="微软雅黑" w:hAnsi="微软雅黑" w:hint="eastAsia"/>
                <w:sz w:val="24"/>
                <w:szCs w:val="24"/>
              </w:rPr>
              <w:t>华泰柏瑞货币市场证券投资基金</w:t>
            </w:r>
          </w:p>
        </w:tc>
        <w:tc>
          <w:tcPr>
            <w:tcW w:w="2136" w:type="dxa"/>
            <w:tcBorders>
              <w:top w:val="nil"/>
              <w:left w:val="nil"/>
              <w:bottom w:val="single" w:sz="4" w:space="0" w:color="auto"/>
              <w:right w:val="single" w:sz="4" w:space="0" w:color="auto"/>
            </w:tcBorders>
            <w:shd w:val="clear" w:color="auto" w:fill="auto"/>
            <w:noWrap/>
            <w:vAlign w:val="center"/>
            <w:hideMark/>
          </w:tcPr>
          <w:p w:rsidR="00851B20" w:rsidRPr="00851B20" w:rsidRDefault="00851B20" w:rsidP="00851B20">
            <w:pPr>
              <w:spacing w:line="360" w:lineRule="auto"/>
              <w:rPr>
                <w:rFonts w:ascii="微软雅黑" w:eastAsia="微软雅黑" w:hAnsi="微软雅黑"/>
                <w:sz w:val="24"/>
                <w:szCs w:val="24"/>
              </w:rPr>
            </w:pPr>
            <w:r w:rsidRPr="00851B20">
              <w:rPr>
                <w:rFonts w:ascii="微软雅黑" w:eastAsia="微软雅黑" w:hAnsi="微软雅黑"/>
                <w:sz w:val="24"/>
                <w:szCs w:val="24"/>
              </w:rPr>
              <w:t>725,772.18</w:t>
            </w:r>
          </w:p>
        </w:tc>
        <w:tc>
          <w:tcPr>
            <w:tcW w:w="1051" w:type="dxa"/>
            <w:tcBorders>
              <w:top w:val="nil"/>
              <w:left w:val="nil"/>
              <w:bottom w:val="single" w:sz="4" w:space="0" w:color="auto"/>
              <w:right w:val="single" w:sz="4" w:space="0" w:color="auto"/>
            </w:tcBorders>
            <w:shd w:val="clear" w:color="auto" w:fill="auto"/>
            <w:noWrap/>
            <w:vAlign w:val="center"/>
            <w:hideMark/>
          </w:tcPr>
          <w:p w:rsidR="00851B20" w:rsidRPr="00851B20" w:rsidRDefault="00851B20" w:rsidP="00851B20">
            <w:pPr>
              <w:spacing w:line="360" w:lineRule="auto"/>
              <w:rPr>
                <w:rFonts w:ascii="微软雅黑" w:eastAsia="微软雅黑" w:hAnsi="微软雅黑"/>
                <w:sz w:val="24"/>
                <w:szCs w:val="24"/>
              </w:rPr>
            </w:pPr>
            <w:r w:rsidRPr="00851B20">
              <w:rPr>
                <w:rFonts w:ascii="微软雅黑" w:eastAsia="微软雅黑" w:hAnsi="微软雅黑"/>
                <w:sz w:val="24"/>
                <w:szCs w:val="24"/>
              </w:rPr>
              <w:t>0.05%</w:t>
            </w:r>
          </w:p>
        </w:tc>
      </w:tr>
      <w:tr w:rsidR="00851B20" w:rsidRPr="0026438E" w:rsidTr="00234712">
        <w:trPr>
          <w:trHeight w:val="31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rsidR="00851B20" w:rsidRPr="00851B20" w:rsidRDefault="00851B20" w:rsidP="00851B20">
            <w:pPr>
              <w:spacing w:line="360" w:lineRule="auto"/>
              <w:rPr>
                <w:rFonts w:ascii="微软雅黑" w:eastAsia="微软雅黑" w:hAnsi="微软雅黑"/>
                <w:sz w:val="24"/>
                <w:szCs w:val="24"/>
              </w:rPr>
            </w:pPr>
            <w:r w:rsidRPr="00851B20">
              <w:rPr>
                <w:rFonts w:ascii="微软雅黑" w:eastAsia="微软雅黑" w:hAnsi="微软雅黑" w:hint="eastAsia"/>
                <w:sz w:val="24"/>
                <w:szCs w:val="24"/>
              </w:rPr>
              <w:t>景顺长城景丰货币市场基金</w:t>
            </w:r>
          </w:p>
        </w:tc>
        <w:tc>
          <w:tcPr>
            <w:tcW w:w="2136" w:type="dxa"/>
            <w:tcBorders>
              <w:top w:val="nil"/>
              <w:left w:val="nil"/>
              <w:bottom w:val="single" w:sz="4" w:space="0" w:color="auto"/>
              <w:right w:val="single" w:sz="4" w:space="0" w:color="auto"/>
            </w:tcBorders>
            <w:shd w:val="clear" w:color="auto" w:fill="auto"/>
            <w:noWrap/>
            <w:vAlign w:val="center"/>
            <w:hideMark/>
          </w:tcPr>
          <w:p w:rsidR="00851B20" w:rsidRPr="00851B20" w:rsidRDefault="00851B20" w:rsidP="00851B20">
            <w:pPr>
              <w:spacing w:line="360" w:lineRule="auto"/>
              <w:rPr>
                <w:rFonts w:ascii="微软雅黑" w:eastAsia="微软雅黑" w:hAnsi="微软雅黑"/>
                <w:sz w:val="24"/>
                <w:szCs w:val="24"/>
              </w:rPr>
            </w:pPr>
            <w:r w:rsidRPr="00851B20">
              <w:rPr>
                <w:rFonts w:ascii="微软雅黑" w:eastAsia="微软雅黑" w:hAnsi="微软雅黑"/>
                <w:sz w:val="24"/>
                <w:szCs w:val="24"/>
              </w:rPr>
              <w:t>448,348.94</w:t>
            </w:r>
          </w:p>
        </w:tc>
        <w:tc>
          <w:tcPr>
            <w:tcW w:w="1051" w:type="dxa"/>
            <w:tcBorders>
              <w:top w:val="nil"/>
              <w:left w:val="nil"/>
              <w:bottom w:val="single" w:sz="4" w:space="0" w:color="auto"/>
              <w:right w:val="single" w:sz="4" w:space="0" w:color="auto"/>
            </w:tcBorders>
            <w:shd w:val="clear" w:color="auto" w:fill="auto"/>
            <w:noWrap/>
            <w:vAlign w:val="center"/>
            <w:hideMark/>
          </w:tcPr>
          <w:p w:rsidR="00851B20" w:rsidRPr="00851B20" w:rsidRDefault="00851B20" w:rsidP="00851B20">
            <w:pPr>
              <w:spacing w:line="360" w:lineRule="auto"/>
              <w:rPr>
                <w:rFonts w:ascii="微软雅黑" w:eastAsia="微软雅黑" w:hAnsi="微软雅黑"/>
                <w:sz w:val="24"/>
                <w:szCs w:val="24"/>
              </w:rPr>
            </w:pPr>
            <w:r w:rsidRPr="00851B20">
              <w:rPr>
                <w:rFonts w:ascii="微软雅黑" w:eastAsia="微软雅黑" w:hAnsi="微软雅黑"/>
                <w:sz w:val="24"/>
                <w:szCs w:val="24"/>
              </w:rPr>
              <w:t>0.03%</w:t>
            </w:r>
          </w:p>
        </w:tc>
      </w:tr>
    </w:tbl>
    <w:p w:rsidR="00974AD0" w:rsidRDefault="00571097" w:rsidP="00F55D3D">
      <w:pPr>
        <w:spacing w:line="360" w:lineRule="auto"/>
        <w:ind w:firstLine="420"/>
        <w:rPr>
          <w:rFonts w:ascii="微软雅黑" w:eastAsia="微软雅黑" w:hAnsi="微软雅黑"/>
          <w:sz w:val="24"/>
          <w:szCs w:val="28"/>
        </w:rPr>
      </w:pPr>
      <w:r>
        <w:rPr>
          <w:rFonts w:ascii="微软雅黑" w:eastAsia="微软雅黑" w:hAnsi="微软雅黑" w:hint="eastAsia"/>
          <w:sz w:val="24"/>
          <w:szCs w:val="28"/>
        </w:rPr>
        <w:t>其中</w:t>
      </w:r>
      <w:r w:rsidR="00BA0A36">
        <w:rPr>
          <w:rFonts w:ascii="微软雅黑" w:eastAsia="微软雅黑" w:hAnsi="微软雅黑" w:hint="eastAsia"/>
          <w:sz w:val="24"/>
          <w:szCs w:val="28"/>
        </w:rPr>
        <w:t>产品</w:t>
      </w:r>
      <w:r w:rsidR="00BA0A36">
        <w:rPr>
          <w:rFonts w:ascii="微软雅黑" w:eastAsia="微软雅黑" w:hAnsi="微软雅黑"/>
          <w:sz w:val="24"/>
          <w:szCs w:val="28"/>
        </w:rPr>
        <w:t>配置的非标</w:t>
      </w:r>
      <w:r w:rsidR="00BA0A36">
        <w:rPr>
          <w:rFonts w:ascii="微软雅黑" w:eastAsia="微软雅黑" w:hAnsi="微软雅黑" w:hint="eastAsia"/>
          <w:sz w:val="24"/>
          <w:szCs w:val="28"/>
        </w:rPr>
        <w:t>准化</w:t>
      </w:r>
      <w:r w:rsidR="00BA0A36">
        <w:rPr>
          <w:rFonts w:ascii="微软雅黑" w:eastAsia="微软雅黑" w:hAnsi="微软雅黑"/>
          <w:sz w:val="24"/>
          <w:szCs w:val="28"/>
        </w:rPr>
        <w:t>债权</w:t>
      </w:r>
      <w:r>
        <w:rPr>
          <w:rFonts w:ascii="微软雅黑" w:eastAsia="微软雅黑" w:hAnsi="微软雅黑"/>
          <w:sz w:val="24"/>
          <w:szCs w:val="28"/>
        </w:rPr>
        <w:t>资产详细情况如下：</w:t>
      </w:r>
    </w:p>
    <w:tbl>
      <w:tblPr>
        <w:tblStyle w:val="11"/>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276"/>
        <w:gridCol w:w="1271"/>
        <w:gridCol w:w="850"/>
        <w:gridCol w:w="851"/>
        <w:gridCol w:w="709"/>
        <w:gridCol w:w="996"/>
        <w:gridCol w:w="993"/>
        <w:gridCol w:w="708"/>
      </w:tblGrid>
      <w:tr w:rsidR="004F0699" w:rsidRPr="004F0699" w:rsidTr="004077D2">
        <w:trPr>
          <w:cnfStyle w:val="100000000000" w:firstRow="1" w:lastRow="0" w:firstColumn="0" w:lastColumn="0" w:oddVBand="0" w:evenVBand="0" w:oddHBand="0"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1560" w:type="dxa"/>
            <w:shd w:val="clear" w:color="auto" w:fill="BFBFBF" w:themeFill="background1" w:themeFillShade="BF"/>
            <w:hideMark/>
          </w:tcPr>
          <w:p w:rsidR="004F0699" w:rsidRPr="004F0699" w:rsidRDefault="004F0699" w:rsidP="00F55D3D">
            <w:pPr>
              <w:widowControl/>
              <w:spacing w:line="360" w:lineRule="auto"/>
              <w:jc w:val="center"/>
              <w:rPr>
                <w:rFonts w:ascii="微软雅黑" w:eastAsia="微软雅黑" w:hAnsi="微软雅黑" w:cs="宋体"/>
                <w:b w:val="0"/>
                <w:kern w:val="0"/>
              </w:rPr>
            </w:pPr>
            <w:r w:rsidRPr="004F0699">
              <w:rPr>
                <w:rFonts w:ascii="微软雅黑" w:eastAsia="微软雅黑" w:hAnsi="微软雅黑" w:cs="宋体" w:hint="eastAsia"/>
                <w:b w:val="0"/>
                <w:kern w:val="0"/>
              </w:rPr>
              <w:lastRenderedPageBreak/>
              <w:t>名称</w:t>
            </w:r>
          </w:p>
        </w:tc>
        <w:tc>
          <w:tcPr>
            <w:tcW w:w="1701" w:type="dxa"/>
            <w:shd w:val="clear" w:color="auto" w:fill="BFBFBF" w:themeFill="background1" w:themeFillShade="BF"/>
            <w:hideMark/>
          </w:tcPr>
          <w:p w:rsidR="004F0699" w:rsidRPr="004F0699" w:rsidRDefault="004F0699" w:rsidP="00F55D3D">
            <w:pPr>
              <w:widowControl/>
              <w:spacing w:line="360" w:lineRule="auto"/>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b w:val="0"/>
                <w:kern w:val="0"/>
              </w:rPr>
            </w:pPr>
            <w:r w:rsidRPr="004F0699">
              <w:rPr>
                <w:rFonts w:ascii="微软雅黑" w:eastAsia="微软雅黑" w:hAnsi="微软雅黑" w:cs="宋体" w:hint="eastAsia"/>
                <w:b w:val="0"/>
                <w:kern w:val="0"/>
              </w:rPr>
              <w:t xml:space="preserve"> 金额(元) </w:t>
            </w:r>
          </w:p>
        </w:tc>
        <w:tc>
          <w:tcPr>
            <w:tcW w:w="1276" w:type="dxa"/>
            <w:shd w:val="clear" w:color="auto" w:fill="BFBFBF" w:themeFill="background1" w:themeFillShade="BF"/>
            <w:hideMark/>
          </w:tcPr>
          <w:p w:rsidR="004F0699" w:rsidRPr="004F0699" w:rsidRDefault="004F0699" w:rsidP="00F55D3D">
            <w:pPr>
              <w:widowControl/>
              <w:spacing w:line="360" w:lineRule="auto"/>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b w:val="0"/>
                <w:color w:val="000000"/>
                <w:kern w:val="0"/>
              </w:rPr>
            </w:pPr>
            <w:r w:rsidRPr="004F0699">
              <w:rPr>
                <w:rFonts w:ascii="微软雅黑" w:eastAsia="微软雅黑" w:hAnsi="微软雅黑" w:cs="宋体" w:hint="eastAsia"/>
                <w:b w:val="0"/>
                <w:color w:val="000000"/>
                <w:kern w:val="0"/>
              </w:rPr>
              <w:t>起息日</w:t>
            </w:r>
          </w:p>
        </w:tc>
        <w:tc>
          <w:tcPr>
            <w:tcW w:w="1271" w:type="dxa"/>
            <w:shd w:val="clear" w:color="auto" w:fill="BFBFBF" w:themeFill="background1" w:themeFillShade="BF"/>
            <w:hideMark/>
          </w:tcPr>
          <w:p w:rsidR="004F0699" w:rsidRPr="004F0699" w:rsidRDefault="004F0699" w:rsidP="00F55D3D">
            <w:pPr>
              <w:widowControl/>
              <w:spacing w:line="360" w:lineRule="auto"/>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b w:val="0"/>
                <w:color w:val="000000"/>
                <w:kern w:val="0"/>
              </w:rPr>
            </w:pPr>
            <w:r w:rsidRPr="004F0699">
              <w:rPr>
                <w:rFonts w:ascii="微软雅黑" w:eastAsia="微软雅黑" w:hAnsi="微软雅黑" w:cs="宋体" w:hint="eastAsia"/>
                <w:b w:val="0"/>
                <w:color w:val="000000"/>
                <w:kern w:val="0"/>
              </w:rPr>
              <w:t>到期日</w:t>
            </w:r>
          </w:p>
        </w:tc>
        <w:tc>
          <w:tcPr>
            <w:tcW w:w="850" w:type="dxa"/>
            <w:shd w:val="clear" w:color="auto" w:fill="BFBFBF" w:themeFill="background1" w:themeFillShade="BF"/>
            <w:hideMark/>
          </w:tcPr>
          <w:p w:rsidR="004F0699" w:rsidRPr="004F0699" w:rsidRDefault="004F0699" w:rsidP="00F55D3D">
            <w:pPr>
              <w:widowControl/>
              <w:spacing w:line="360" w:lineRule="auto"/>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b w:val="0"/>
                <w:color w:val="000000"/>
                <w:kern w:val="0"/>
              </w:rPr>
            </w:pPr>
            <w:r w:rsidRPr="004F0699">
              <w:rPr>
                <w:rFonts w:ascii="微软雅黑" w:eastAsia="微软雅黑" w:hAnsi="微软雅黑" w:cs="宋体" w:hint="eastAsia"/>
                <w:b w:val="0"/>
                <w:color w:val="000000"/>
                <w:kern w:val="0"/>
              </w:rPr>
              <w:t>投资收益率</w:t>
            </w:r>
          </w:p>
        </w:tc>
        <w:tc>
          <w:tcPr>
            <w:tcW w:w="851" w:type="dxa"/>
            <w:shd w:val="clear" w:color="auto" w:fill="BFBFBF" w:themeFill="background1" w:themeFillShade="BF"/>
            <w:hideMark/>
          </w:tcPr>
          <w:p w:rsidR="004F0699" w:rsidRPr="004F0699" w:rsidRDefault="004F0699" w:rsidP="00F55D3D">
            <w:pPr>
              <w:widowControl/>
              <w:spacing w:line="360" w:lineRule="auto"/>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b w:val="0"/>
                <w:color w:val="000000"/>
                <w:kern w:val="0"/>
              </w:rPr>
            </w:pPr>
            <w:r w:rsidRPr="004F0699">
              <w:rPr>
                <w:rFonts w:ascii="微软雅黑" w:eastAsia="微软雅黑" w:hAnsi="微软雅黑" w:cs="宋体" w:hint="eastAsia"/>
                <w:b w:val="0"/>
                <w:color w:val="000000"/>
                <w:kern w:val="0"/>
              </w:rPr>
              <w:t>资产类别</w:t>
            </w:r>
          </w:p>
        </w:tc>
        <w:tc>
          <w:tcPr>
            <w:tcW w:w="709" w:type="dxa"/>
            <w:shd w:val="clear" w:color="auto" w:fill="BFBFBF" w:themeFill="background1" w:themeFillShade="BF"/>
            <w:hideMark/>
          </w:tcPr>
          <w:p w:rsidR="004F0699" w:rsidRPr="004F0699" w:rsidRDefault="004F0699" w:rsidP="00F55D3D">
            <w:pPr>
              <w:widowControl/>
              <w:spacing w:line="360" w:lineRule="auto"/>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b w:val="0"/>
                <w:color w:val="000000"/>
                <w:kern w:val="0"/>
              </w:rPr>
            </w:pPr>
            <w:r w:rsidRPr="004F0699">
              <w:rPr>
                <w:rFonts w:ascii="微软雅黑" w:eastAsia="微软雅黑" w:hAnsi="微软雅黑" w:cs="宋体" w:hint="eastAsia"/>
                <w:b w:val="0"/>
                <w:color w:val="000000"/>
                <w:kern w:val="0"/>
              </w:rPr>
              <w:t>交易对手</w:t>
            </w:r>
          </w:p>
        </w:tc>
        <w:tc>
          <w:tcPr>
            <w:tcW w:w="996" w:type="dxa"/>
            <w:shd w:val="clear" w:color="auto" w:fill="BFBFBF" w:themeFill="background1" w:themeFillShade="BF"/>
            <w:hideMark/>
          </w:tcPr>
          <w:p w:rsidR="004F0699" w:rsidRPr="004F0699" w:rsidRDefault="004F0699" w:rsidP="00F55D3D">
            <w:pPr>
              <w:widowControl/>
              <w:spacing w:line="360" w:lineRule="auto"/>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b w:val="0"/>
                <w:color w:val="000000"/>
                <w:kern w:val="0"/>
              </w:rPr>
            </w:pPr>
            <w:r w:rsidRPr="004F0699">
              <w:rPr>
                <w:rFonts w:ascii="微软雅黑" w:eastAsia="微软雅黑" w:hAnsi="微软雅黑" w:cs="宋体" w:hint="eastAsia"/>
                <w:b w:val="0"/>
                <w:color w:val="000000"/>
                <w:kern w:val="0"/>
              </w:rPr>
              <w:t>融资人</w:t>
            </w:r>
          </w:p>
        </w:tc>
        <w:tc>
          <w:tcPr>
            <w:tcW w:w="993" w:type="dxa"/>
            <w:shd w:val="clear" w:color="auto" w:fill="BFBFBF" w:themeFill="background1" w:themeFillShade="BF"/>
            <w:hideMark/>
          </w:tcPr>
          <w:p w:rsidR="004F0699" w:rsidRPr="004F0699" w:rsidRDefault="004F0699" w:rsidP="00F55D3D">
            <w:pPr>
              <w:widowControl/>
              <w:spacing w:line="360" w:lineRule="auto"/>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b w:val="0"/>
                <w:color w:val="000000"/>
                <w:kern w:val="0"/>
              </w:rPr>
            </w:pPr>
            <w:r w:rsidRPr="004F0699">
              <w:rPr>
                <w:rFonts w:ascii="微软雅黑" w:eastAsia="微软雅黑" w:hAnsi="微软雅黑" w:cs="宋体" w:hint="eastAsia"/>
                <w:b w:val="0"/>
                <w:color w:val="000000"/>
                <w:kern w:val="0"/>
              </w:rPr>
              <w:t>投向行业</w:t>
            </w:r>
          </w:p>
        </w:tc>
        <w:tc>
          <w:tcPr>
            <w:tcW w:w="708" w:type="dxa"/>
            <w:shd w:val="clear" w:color="auto" w:fill="BFBFBF" w:themeFill="background1" w:themeFillShade="BF"/>
            <w:hideMark/>
          </w:tcPr>
          <w:p w:rsidR="004F0699" w:rsidRPr="004F0699" w:rsidRDefault="004F0699" w:rsidP="00F55D3D">
            <w:pPr>
              <w:widowControl/>
              <w:spacing w:line="360" w:lineRule="auto"/>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b w:val="0"/>
                <w:color w:val="000000"/>
                <w:kern w:val="0"/>
              </w:rPr>
            </w:pPr>
            <w:r w:rsidRPr="004F0699">
              <w:rPr>
                <w:rFonts w:ascii="微软雅黑" w:eastAsia="微软雅黑" w:hAnsi="微软雅黑" w:cs="宋体" w:hint="eastAsia"/>
                <w:b w:val="0"/>
                <w:color w:val="000000"/>
                <w:kern w:val="0"/>
              </w:rPr>
              <w:t>区域</w:t>
            </w:r>
          </w:p>
        </w:tc>
      </w:tr>
      <w:tr w:rsidR="00416F87" w:rsidRPr="004F0699" w:rsidTr="004077D2">
        <w:trPr>
          <w:cnfStyle w:val="000000100000" w:firstRow="0" w:lastRow="0" w:firstColumn="0" w:lastColumn="0" w:oddVBand="0" w:evenVBand="0" w:oddHBand="1" w:evenHBand="0" w:firstRowFirstColumn="0" w:firstRowLastColumn="0" w:lastRowFirstColumn="0" w:lastRowLastColumn="0"/>
          <w:trHeight w:val="1309"/>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vAlign w:val="center"/>
          </w:tcPr>
          <w:p w:rsidR="00416F87" w:rsidRPr="00416F87" w:rsidRDefault="00416F87" w:rsidP="00F55D3D">
            <w:pPr>
              <w:spacing w:line="360" w:lineRule="auto"/>
              <w:jc w:val="right"/>
              <w:rPr>
                <w:rFonts w:ascii="微软雅黑" w:eastAsia="微软雅黑" w:hAnsi="微软雅黑"/>
                <w:color w:val="000000"/>
                <w:sz w:val="18"/>
                <w:szCs w:val="18"/>
              </w:rPr>
            </w:pPr>
            <w:r w:rsidRPr="00416F87">
              <w:rPr>
                <w:rFonts w:ascii="微软雅黑" w:eastAsia="微软雅黑" w:hAnsi="微软雅黑" w:hint="eastAsia"/>
                <w:color w:val="000000"/>
                <w:sz w:val="18"/>
                <w:szCs w:val="18"/>
              </w:rPr>
              <w:t>平安证券博大新元1号定向资产管理计划</w:t>
            </w:r>
          </w:p>
        </w:tc>
        <w:tc>
          <w:tcPr>
            <w:tcW w:w="1701" w:type="dxa"/>
            <w:shd w:val="clear" w:color="auto" w:fill="FFFFFF" w:themeFill="background1"/>
            <w:vAlign w:val="center"/>
          </w:tcPr>
          <w:p w:rsidR="00416F87" w:rsidRPr="00416F87" w:rsidRDefault="00416F87" w:rsidP="00F55D3D">
            <w:pPr>
              <w:spacing w:line="360" w:lineRule="auto"/>
              <w:jc w:val="righ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olor w:val="000000"/>
                <w:sz w:val="18"/>
                <w:szCs w:val="18"/>
              </w:rPr>
            </w:pPr>
            <w:r w:rsidRPr="00416F87">
              <w:rPr>
                <w:rFonts w:ascii="微软雅黑" w:eastAsia="微软雅黑" w:hAnsi="微软雅黑" w:hint="eastAsia"/>
                <w:color w:val="000000"/>
                <w:sz w:val="18"/>
                <w:szCs w:val="18"/>
              </w:rPr>
              <w:t>1,150,000,000.00</w:t>
            </w:r>
          </w:p>
        </w:tc>
        <w:tc>
          <w:tcPr>
            <w:tcW w:w="1276" w:type="dxa"/>
            <w:shd w:val="clear" w:color="auto" w:fill="FFFFFF" w:themeFill="background1"/>
            <w:vAlign w:val="center"/>
          </w:tcPr>
          <w:p w:rsidR="00416F87" w:rsidRPr="00416F87" w:rsidRDefault="003D08F6" w:rsidP="00F55D3D">
            <w:pPr>
              <w:spacing w:line="360" w:lineRule="auto"/>
              <w:jc w:val="righ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olor w:val="000000"/>
                <w:sz w:val="18"/>
                <w:szCs w:val="18"/>
              </w:rPr>
            </w:pPr>
            <w:r>
              <w:rPr>
                <w:rFonts w:ascii="微软雅黑" w:eastAsia="微软雅黑" w:hAnsi="微软雅黑" w:hint="eastAsia"/>
                <w:color w:val="000000"/>
                <w:sz w:val="18"/>
                <w:szCs w:val="18"/>
              </w:rPr>
              <w:t>2016/11/10</w:t>
            </w:r>
          </w:p>
        </w:tc>
        <w:tc>
          <w:tcPr>
            <w:tcW w:w="1271" w:type="dxa"/>
            <w:shd w:val="clear" w:color="auto" w:fill="FFFFFF" w:themeFill="background1"/>
            <w:vAlign w:val="center"/>
          </w:tcPr>
          <w:p w:rsidR="00416F87" w:rsidRPr="00416F87" w:rsidRDefault="003D08F6" w:rsidP="00F55D3D">
            <w:pPr>
              <w:spacing w:line="360" w:lineRule="auto"/>
              <w:jc w:val="righ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olor w:val="000000"/>
                <w:sz w:val="18"/>
                <w:szCs w:val="18"/>
              </w:rPr>
            </w:pPr>
            <w:r>
              <w:rPr>
                <w:rFonts w:ascii="微软雅黑" w:eastAsia="微软雅黑" w:hAnsi="微软雅黑" w:hint="eastAsia"/>
                <w:color w:val="000000"/>
                <w:sz w:val="18"/>
                <w:szCs w:val="18"/>
              </w:rPr>
              <w:t>2019/11/10</w:t>
            </w:r>
          </w:p>
        </w:tc>
        <w:tc>
          <w:tcPr>
            <w:tcW w:w="850" w:type="dxa"/>
            <w:shd w:val="clear" w:color="auto" w:fill="FFFFFF" w:themeFill="background1"/>
            <w:vAlign w:val="center"/>
          </w:tcPr>
          <w:p w:rsidR="00416F87" w:rsidRPr="00416F87" w:rsidRDefault="003D08F6" w:rsidP="00F55D3D">
            <w:pPr>
              <w:spacing w:line="360" w:lineRule="auto"/>
              <w:jc w:val="righ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olor w:val="000000"/>
                <w:sz w:val="18"/>
                <w:szCs w:val="18"/>
              </w:rPr>
            </w:pPr>
            <w:r>
              <w:rPr>
                <w:rFonts w:ascii="微软雅黑" w:eastAsia="微软雅黑" w:hAnsi="微软雅黑" w:hint="eastAsia"/>
                <w:color w:val="000000"/>
                <w:sz w:val="18"/>
                <w:szCs w:val="18"/>
              </w:rPr>
              <w:t>4.</w:t>
            </w:r>
            <w:r w:rsidR="00937A00">
              <w:rPr>
                <w:rFonts w:ascii="微软雅黑" w:eastAsia="微软雅黑" w:hAnsi="微软雅黑"/>
                <w:color w:val="000000"/>
                <w:sz w:val="18"/>
                <w:szCs w:val="18"/>
              </w:rPr>
              <w:t>8</w:t>
            </w:r>
            <w:r>
              <w:rPr>
                <w:rFonts w:ascii="微软雅黑" w:eastAsia="微软雅黑" w:hAnsi="微软雅黑" w:hint="eastAsia"/>
                <w:color w:val="000000"/>
                <w:sz w:val="18"/>
                <w:szCs w:val="18"/>
              </w:rPr>
              <w:t>%</w:t>
            </w:r>
          </w:p>
        </w:tc>
        <w:tc>
          <w:tcPr>
            <w:tcW w:w="851" w:type="dxa"/>
            <w:shd w:val="clear" w:color="auto" w:fill="FFFFFF" w:themeFill="background1"/>
            <w:vAlign w:val="center"/>
          </w:tcPr>
          <w:p w:rsidR="00416F87" w:rsidRPr="00416F87" w:rsidRDefault="00416F87" w:rsidP="00F55D3D">
            <w:pPr>
              <w:spacing w:line="360" w:lineRule="auto"/>
              <w:jc w:val="righ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olor w:val="000000"/>
                <w:sz w:val="18"/>
                <w:szCs w:val="18"/>
              </w:rPr>
            </w:pPr>
            <w:r w:rsidRPr="00416F87">
              <w:rPr>
                <w:rFonts w:ascii="微软雅黑" w:eastAsia="微软雅黑" w:hAnsi="微软雅黑" w:hint="eastAsia"/>
                <w:color w:val="000000"/>
                <w:sz w:val="18"/>
                <w:szCs w:val="18"/>
              </w:rPr>
              <w:t>委托贷款</w:t>
            </w:r>
          </w:p>
        </w:tc>
        <w:tc>
          <w:tcPr>
            <w:tcW w:w="709" w:type="dxa"/>
            <w:shd w:val="clear" w:color="auto" w:fill="FFFFFF" w:themeFill="background1"/>
            <w:vAlign w:val="center"/>
          </w:tcPr>
          <w:p w:rsidR="00416F87" w:rsidRPr="00416F87" w:rsidRDefault="00416F87" w:rsidP="00F55D3D">
            <w:pPr>
              <w:spacing w:line="360" w:lineRule="auto"/>
              <w:jc w:val="righ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olor w:val="000000"/>
                <w:sz w:val="18"/>
                <w:szCs w:val="18"/>
              </w:rPr>
            </w:pPr>
            <w:r w:rsidRPr="00416F87">
              <w:rPr>
                <w:rFonts w:ascii="微软雅黑" w:eastAsia="微软雅黑" w:hAnsi="微软雅黑" w:hint="eastAsia"/>
                <w:color w:val="000000"/>
                <w:sz w:val="18"/>
                <w:szCs w:val="18"/>
              </w:rPr>
              <w:t>平安证券</w:t>
            </w:r>
          </w:p>
        </w:tc>
        <w:tc>
          <w:tcPr>
            <w:tcW w:w="996" w:type="dxa"/>
            <w:shd w:val="clear" w:color="auto" w:fill="FFFFFF" w:themeFill="background1"/>
            <w:vAlign w:val="center"/>
          </w:tcPr>
          <w:p w:rsidR="00416F87" w:rsidRPr="00416F87" w:rsidRDefault="00416F87" w:rsidP="00F55D3D">
            <w:pPr>
              <w:spacing w:line="360" w:lineRule="auto"/>
              <w:jc w:val="righ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olor w:val="000000"/>
                <w:sz w:val="18"/>
                <w:szCs w:val="18"/>
              </w:rPr>
            </w:pPr>
            <w:r w:rsidRPr="00416F87">
              <w:rPr>
                <w:rFonts w:ascii="微软雅黑" w:eastAsia="微软雅黑" w:hAnsi="微软雅黑" w:hint="eastAsia"/>
                <w:color w:val="000000"/>
                <w:sz w:val="18"/>
                <w:szCs w:val="18"/>
              </w:rPr>
              <w:t>北京博大新元房地产开发有限公司</w:t>
            </w:r>
          </w:p>
        </w:tc>
        <w:tc>
          <w:tcPr>
            <w:tcW w:w="993" w:type="dxa"/>
            <w:shd w:val="clear" w:color="auto" w:fill="FFFFFF" w:themeFill="background1"/>
            <w:vAlign w:val="center"/>
          </w:tcPr>
          <w:p w:rsidR="00416F87" w:rsidRPr="00416F87" w:rsidRDefault="003D1B9A" w:rsidP="00F55D3D">
            <w:pPr>
              <w:spacing w:line="360" w:lineRule="auto"/>
              <w:ind w:right="360"/>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olor w:val="000000"/>
                <w:sz w:val="18"/>
                <w:szCs w:val="18"/>
              </w:rPr>
            </w:pPr>
            <w:r>
              <w:rPr>
                <w:rFonts w:ascii="微软雅黑" w:eastAsia="微软雅黑" w:hAnsi="微软雅黑" w:hint="eastAsia"/>
                <w:color w:val="000000"/>
                <w:sz w:val="18"/>
                <w:szCs w:val="18"/>
              </w:rPr>
              <w:t>保障性住房建设</w:t>
            </w:r>
          </w:p>
        </w:tc>
        <w:tc>
          <w:tcPr>
            <w:tcW w:w="708" w:type="dxa"/>
            <w:shd w:val="clear" w:color="auto" w:fill="FFFFFF" w:themeFill="background1"/>
            <w:vAlign w:val="center"/>
          </w:tcPr>
          <w:p w:rsidR="00416F87" w:rsidRPr="00416F87" w:rsidRDefault="00416F87" w:rsidP="00F55D3D">
            <w:pPr>
              <w:spacing w:line="360" w:lineRule="auto"/>
              <w:jc w:val="righ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olor w:val="000000"/>
                <w:sz w:val="18"/>
                <w:szCs w:val="18"/>
              </w:rPr>
            </w:pPr>
            <w:r w:rsidRPr="00416F87">
              <w:rPr>
                <w:rFonts w:ascii="微软雅黑" w:eastAsia="微软雅黑" w:hAnsi="微软雅黑" w:hint="eastAsia"/>
                <w:color w:val="000000"/>
                <w:sz w:val="18"/>
                <w:szCs w:val="18"/>
              </w:rPr>
              <w:t>北京市</w:t>
            </w:r>
          </w:p>
        </w:tc>
      </w:tr>
    </w:tbl>
    <w:p w:rsidR="00994A34" w:rsidRPr="00571097" w:rsidRDefault="00994A34" w:rsidP="00994A34">
      <w:pPr>
        <w:autoSpaceDE w:val="0"/>
        <w:autoSpaceDN w:val="0"/>
        <w:adjustRightInd w:val="0"/>
        <w:spacing w:line="360" w:lineRule="auto"/>
        <w:jc w:val="left"/>
        <w:rPr>
          <w:rFonts w:ascii="微软雅黑" w:eastAsia="微软雅黑" w:hAnsi="微软雅黑"/>
          <w:b/>
          <w:bCs/>
          <w:color w:val="000000"/>
          <w:kern w:val="0"/>
          <w:sz w:val="24"/>
          <w:szCs w:val="24"/>
        </w:rPr>
      </w:pPr>
      <w:r>
        <w:rPr>
          <w:rFonts w:ascii="微软雅黑" w:eastAsia="微软雅黑" w:hAnsi="微软雅黑"/>
          <w:b/>
          <w:bCs/>
          <w:color w:val="000000"/>
          <w:kern w:val="0"/>
          <w:sz w:val="24"/>
          <w:szCs w:val="24"/>
        </w:rPr>
        <w:t>4.3</w:t>
      </w:r>
      <w:r w:rsidRPr="00571097">
        <w:rPr>
          <w:rFonts w:ascii="微软雅黑" w:eastAsia="微软雅黑" w:hAnsi="微软雅黑"/>
          <w:b/>
          <w:bCs/>
          <w:color w:val="000000"/>
          <w:kern w:val="0"/>
          <w:sz w:val="24"/>
          <w:szCs w:val="24"/>
        </w:rPr>
        <w:t xml:space="preserve"> </w:t>
      </w:r>
      <w:r>
        <w:rPr>
          <w:rFonts w:ascii="微软雅黑" w:eastAsia="微软雅黑" w:hAnsi="微软雅黑"/>
          <w:b/>
          <w:bCs/>
          <w:color w:val="000000"/>
          <w:kern w:val="0"/>
          <w:sz w:val="24"/>
          <w:szCs w:val="24"/>
        </w:rPr>
        <w:t xml:space="preserve"> </w:t>
      </w:r>
      <w:r w:rsidRPr="00571097">
        <w:rPr>
          <w:rFonts w:ascii="微软雅黑" w:eastAsia="微软雅黑" w:hAnsi="微软雅黑" w:hint="eastAsia"/>
          <w:b/>
          <w:bCs/>
          <w:color w:val="000000"/>
          <w:kern w:val="0"/>
          <w:sz w:val="24"/>
          <w:szCs w:val="24"/>
        </w:rPr>
        <w:t>养老新兴投资指数配置及表现</w:t>
      </w:r>
    </w:p>
    <w:p w:rsidR="00994A34" w:rsidRDefault="00994A34" w:rsidP="00994A34">
      <w:pPr>
        <w:spacing w:line="360" w:lineRule="auto"/>
        <w:ind w:firstLineChars="200" w:firstLine="480"/>
        <w:rPr>
          <w:rFonts w:ascii="微软雅黑" w:eastAsia="微软雅黑" w:hAnsi="微软雅黑"/>
          <w:color w:val="000000"/>
          <w:sz w:val="24"/>
          <w:szCs w:val="24"/>
        </w:rPr>
      </w:pPr>
      <w:r w:rsidRPr="00571097">
        <w:rPr>
          <w:rFonts w:ascii="微软雅黑" w:eastAsia="微软雅黑" w:hAnsi="微软雅黑" w:hint="eastAsia"/>
          <w:color w:val="000000"/>
          <w:sz w:val="24"/>
          <w:szCs w:val="24"/>
        </w:rPr>
        <w:t>养老新兴</w:t>
      </w:r>
      <w:r>
        <w:rPr>
          <w:rFonts w:ascii="微软雅黑" w:eastAsia="微软雅黑" w:hAnsi="微软雅黑" w:hint="eastAsia"/>
          <w:color w:val="000000"/>
          <w:sz w:val="24"/>
          <w:szCs w:val="24"/>
        </w:rPr>
        <w:t>投资</w:t>
      </w:r>
      <w:r w:rsidRPr="00571097">
        <w:rPr>
          <w:rFonts w:ascii="微软雅黑" w:eastAsia="微软雅黑" w:hAnsi="微软雅黑" w:hint="eastAsia"/>
          <w:color w:val="000000"/>
          <w:sz w:val="24"/>
          <w:szCs w:val="24"/>
        </w:rPr>
        <w:t>指数</w:t>
      </w:r>
      <w:r>
        <w:rPr>
          <w:rFonts w:ascii="微软雅黑" w:eastAsia="微软雅黑" w:hAnsi="微软雅黑" w:hint="eastAsia"/>
          <w:color w:val="000000"/>
          <w:sz w:val="24"/>
          <w:szCs w:val="24"/>
        </w:rPr>
        <w:t>行业及</w:t>
      </w:r>
      <w:r>
        <w:rPr>
          <w:rFonts w:ascii="微软雅黑" w:eastAsia="微软雅黑" w:hAnsi="微软雅黑"/>
          <w:color w:val="000000"/>
          <w:sz w:val="24"/>
          <w:szCs w:val="24"/>
        </w:rPr>
        <w:t>标的配置如下</w:t>
      </w:r>
      <w:r>
        <w:rPr>
          <w:rFonts w:ascii="微软雅黑" w:eastAsia="微软雅黑" w:hAnsi="微软雅黑" w:hint="eastAsia"/>
          <w:color w:val="000000"/>
          <w:sz w:val="24"/>
          <w:szCs w:val="24"/>
        </w:rPr>
        <w:t>：</w:t>
      </w:r>
    </w:p>
    <w:p w:rsidR="00994A34" w:rsidRPr="00571097" w:rsidRDefault="00994A34" w:rsidP="00994A34">
      <w:pPr>
        <w:spacing w:line="360" w:lineRule="auto"/>
        <w:ind w:firstLineChars="200" w:firstLine="480"/>
        <w:rPr>
          <w:rFonts w:ascii="微软雅黑" w:eastAsia="微软雅黑" w:hAnsi="微软雅黑"/>
          <w:color w:val="000000"/>
          <w:sz w:val="24"/>
          <w:szCs w:val="24"/>
        </w:rPr>
      </w:pPr>
      <w:r w:rsidRPr="00571097">
        <w:rPr>
          <w:rFonts w:ascii="微软雅黑" w:eastAsia="微软雅黑" w:hAnsi="微软雅黑" w:hint="eastAsia"/>
          <w:color w:val="000000"/>
          <w:sz w:val="24"/>
          <w:szCs w:val="24"/>
        </w:rPr>
        <w:t>1）医药板块的化学制药、中药行业，共8只股票；</w:t>
      </w:r>
    </w:p>
    <w:p w:rsidR="00994A34" w:rsidRPr="00571097" w:rsidRDefault="00994A34" w:rsidP="00994A34">
      <w:pPr>
        <w:spacing w:line="360" w:lineRule="auto"/>
        <w:ind w:firstLineChars="200" w:firstLine="480"/>
        <w:rPr>
          <w:rFonts w:ascii="微软雅黑" w:eastAsia="微软雅黑" w:hAnsi="微软雅黑"/>
          <w:color w:val="000000"/>
          <w:sz w:val="24"/>
          <w:szCs w:val="24"/>
        </w:rPr>
      </w:pPr>
      <w:r w:rsidRPr="00571097">
        <w:rPr>
          <w:rFonts w:ascii="微软雅黑" w:eastAsia="微软雅黑" w:hAnsi="微软雅黑" w:hint="eastAsia"/>
          <w:color w:val="000000"/>
          <w:sz w:val="24"/>
          <w:szCs w:val="24"/>
        </w:rPr>
        <w:t>2）医疗板块：生物制品、医疗服务、医疗器械行业，共12只股票；</w:t>
      </w:r>
    </w:p>
    <w:p w:rsidR="00994A34" w:rsidRDefault="00994A34" w:rsidP="00994A34">
      <w:pPr>
        <w:spacing w:line="360" w:lineRule="auto"/>
        <w:ind w:firstLineChars="200" w:firstLine="480"/>
        <w:rPr>
          <w:rFonts w:ascii="微软雅黑" w:eastAsia="微软雅黑" w:hAnsi="微软雅黑"/>
          <w:color w:val="000000"/>
          <w:sz w:val="24"/>
          <w:szCs w:val="24"/>
        </w:rPr>
      </w:pPr>
      <w:r w:rsidRPr="00571097">
        <w:rPr>
          <w:rFonts w:ascii="微软雅黑" w:eastAsia="微软雅黑" w:hAnsi="微软雅黑" w:hint="eastAsia"/>
          <w:color w:val="000000"/>
          <w:sz w:val="24"/>
          <w:szCs w:val="24"/>
        </w:rPr>
        <w:t>3）养老板块：最新的中报/年报（以最新一期为准）中主营业务收入与保健、健康险、康复、护理、养生、养老地产、其他养老相关的个股，共20只股票。</w:t>
      </w:r>
    </w:p>
    <w:p w:rsidR="00994A34" w:rsidRDefault="00994A34" w:rsidP="00994A34">
      <w:pPr>
        <w:spacing w:line="360" w:lineRule="auto"/>
        <w:ind w:firstLineChars="200" w:firstLine="480"/>
        <w:rPr>
          <w:rFonts w:ascii="微软雅黑" w:eastAsia="微软雅黑" w:hAnsi="微软雅黑"/>
          <w:color w:val="000000"/>
          <w:sz w:val="24"/>
          <w:szCs w:val="24"/>
        </w:rPr>
      </w:pPr>
      <w:r w:rsidRPr="00571097">
        <w:rPr>
          <w:rFonts w:ascii="微软雅黑" w:eastAsia="微软雅黑" w:hAnsi="微软雅黑" w:hint="eastAsia"/>
          <w:color w:val="000000"/>
          <w:sz w:val="24"/>
          <w:szCs w:val="24"/>
        </w:rPr>
        <w:t>截至</w:t>
      </w:r>
      <w:r>
        <w:rPr>
          <w:rFonts w:ascii="微软雅黑" w:eastAsia="微软雅黑" w:hAnsi="微软雅黑" w:hint="eastAsia"/>
          <w:color w:val="000000"/>
          <w:sz w:val="24"/>
          <w:szCs w:val="24"/>
        </w:rPr>
        <w:t>今年年末</w:t>
      </w:r>
      <w:r w:rsidRPr="00571097">
        <w:rPr>
          <w:rFonts w:ascii="微软雅黑" w:eastAsia="微软雅黑" w:hAnsi="微软雅黑" w:hint="eastAsia"/>
          <w:color w:val="000000"/>
          <w:sz w:val="24"/>
          <w:szCs w:val="24"/>
        </w:rPr>
        <w:t>，</w:t>
      </w:r>
      <w:r>
        <w:rPr>
          <w:rFonts w:ascii="微软雅黑" w:eastAsia="微软雅黑" w:hAnsi="微软雅黑" w:hint="eastAsia"/>
          <w:color w:val="000000"/>
          <w:sz w:val="24"/>
          <w:szCs w:val="24"/>
        </w:rPr>
        <w:t>养老</w:t>
      </w:r>
      <w:r>
        <w:rPr>
          <w:rFonts w:ascii="微软雅黑" w:eastAsia="微软雅黑" w:hAnsi="微软雅黑"/>
          <w:color w:val="000000"/>
          <w:sz w:val="24"/>
          <w:szCs w:val="24"/>
        </w:rPr>
        <w:t>新型投资</w:t>
      </w:r>
      <w:r>
        <w:rPr>
          <w:rFonts w:ascii="微软雅黑" w:eastAsia="微软雅黑" w:hAnsi="微软雅黑" w:hint="eastAsia"/>
          <w:color w:val="000000"/>
          <w:sz w:val="24"/>
          <w:szCs w:val="24"/>
        </w:rPr>
        <w:t>指数净值</w:t>
      </w:r>
      <w:r>
        <w:rPr>
          <w:rFonts w:ascii="微软雅黑" w:eastAsia="微软雅黑" w:hAnsi="微软雅黑"/>
          <w:color w:val="000000"/>
          <w:sz w:val="24"/>
          <w:szCs w:val="24"/>
        </w:rPr>
        <w:t>为</w:t>
      </w:r>
      <w:r>
        <w:rPr>
          <w:rFonts w:ascii="微软雅黑" w:eastAsia="微软雅黑" w:hAnsi="微软雅黑" w:hint="eastAsia"/>
          <w:color w:val="000000"/>
          <w:sz w:val="24"/>
          <w:szCs w:val="24"/>
        </w:rPr>
        <w:t>1.</w:t>
      </w:r>
      <w:r>
        <w:rPr>
          <w:rFonts w:ascii="微软雅黑" w:eastAsia="微软雅黑" w:hAnsi="微软雅黑"/>
          <w:color w:val="000000"/>
          <w:sz w:val="24"/>
          <w:szCs w:val="24"/>
        </w:rPr>
        <w:t>0397，今年以来</w:t>
      </w:r>
      <w:r>
        <w:rPr>
          <w:rFonts w:ascii="微软雅黑" w:eastAsia="微软雅黑" w:hAnsi="微软雅黑" w:hint="eastAsia"/>
          <w:color w:val="000000"/>
          <w:sz w:val="24"/>
          <w:szCs w:val="24"/>
        </w:rPr>
        <w:t>收益率为</w:t>
      </w:r>
      <w:r>
        <w:rPr>
          <w:rFonts w:ascii="微软雅黑" w:eastAsia="微软雅黑" w:hAnsi="微软雅黑"/>
          <w:color w:val="000000"/>
          <w:sz w:val="24"/>
          <w:szCs w:val="24"/>
        </w:rPr>
        <w:t>3.97%</w:t>
      </w:r>
      <w:r>
        <w:rPr>
          <w:rFonts w:ascii="微软雅黑" w:eastAsia="微软雅黑" w:hAnsi="微软雅黑" w:hint="eastAsia"/>
          <w:color w:val="000000"/>
          <w:sz w:val="24"/>
          <w:szCs w:val="24"/>
        </w:rPr>
        <w:t>。</w:t>
      </w:r>
      <w:r>
        <w:rPr>
          <w:rFonts w:ascii="微软雅黑" w:eastAsia="微软雅黑" w:hAnsi="微软雅黑"/>
          <w:color w:val="000000"/>
          <w:sz w:val="24"/>
          <w:szCs w:val="24"/>
        </w:rPr>
        <w:t>前十大</w:t>
      </w:r>
      <w:r>
        <w:rPr>
          <w:rFonts w:ascii="微软雅黑" w:eastAsia="微软雅黑" w:hAnsi="微软雅黑" w:hint="eastAsia"/>
          <w:color w:val="000000"/>
          <w:sz w:val="24"/>
          <w:szCs w:val="24"/>
        </w:rPr>
        <w:t>股票</w:t>
      </w:r>
      <w:r>
        <w:rPr>
          <w:rFonts w:ascii="微软雅黑" w:eastAsia="微软雅黑" w:hAnsi="微软雅黑"/>
          <w:color w:val="000000"/>
          <w:sz w:val="24"/>
          <w:szCs w:val="24"/>
        </w:rPr>
        <w:t>为：</w:t>
      </w:r>
    </w:p>
    <w:tbl>
      <w:tblPr>
        <w:tblStyle w:val="af7"/>
        <w:tblW w:w="0" w:type="auto"/>
        <w:tblLook w:val="04A0" w:firstRow="1" w:lastRow="0" w:firstColumn="1" w:lastColumn="0" w:noHBand="0" w:noVBand="1"/>
      </w:tblPr>
      <w:tblGrid>
        <w:gridCol w:w="1668"/>
        <w:gridCol w:w="1701"/>
        <w:gridCol w:w="1559"/>
        <w:gridCol w:w="1843"/>
        <w:gridCol w:w="1559"/>
      </w:tblGrid>
      <w:tr w:rsidR="00994A34" w:rsidRPr="008B008B" w:rsidTr="006909F8">
        <w:trPr>
          <w:trHeight w:val="270"/>
        </w:trPr>
        <w:tc>
          <w:tcPr>
            <w:tcW w:w="1668"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股票代码</w:t>
            </w:r>
          </w:p>
        </w:tc>
        <w:tc>
          <w:tcPr>
            <w:tcW w:w="1701"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股票名称</w:t>
            </w:r>
          </w:p>
        </w:tc>
        <w:tc>
          <w:tcPr>
            <w:tcW w:w="1559"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数量(股)</w:t>
            </w:r>
          </w:p>
        </w:tc>
        <w:tc>
          <w:tcPr>
            <w:tcW w:w="1843"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公允价值(元)</w:t>
            </w:r>
          </w:p>
        </w:tc>
        <w:tc>
          <w:tcPr>
            <w:tcW w:w="1559"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占比(%)</w:t>
            </w:r>
          </w:p>
        </w:tc>
      </w:tr>
      <w:tr w:rsidR="00994A34" w:rsidRPr="008B008B" w:rsidTr="006909F8">
        <w:trPr>
          <w:trHeight w:val="270"/>
        </w:trPr>
        <w:tc>
          <w:tcPr>
            <w:tcW w:w="1668"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600048</w:t>
            </w:r>
          </w:p>
        </w:tc>
        <w:tc>
          <w:tcPr>
            <w:tcW w:w="1701"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保利地产</w:t>
            </w:r>
          </w:p>
        </w:tc>
        <w:tc>
          <w:tcPr>
            <w:tcW w:w="1559"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271600</w:t>
            </w:r>
          </w:p>
        </w:tc>
        <w:tc>
          <w:tcPr>
            <w:tcW w:w="1843"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10.93</w:t>
            </w:r>
          </w:p>
        </w:tc>
        <w:tc>
          <w:tcPr>
            <w:tcW w:w="1559"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2.90%</w:t>
            </w:r>
          </w:p>
        </w:tc>
      </w:tr>
      <w:tr w:rsidR="00994A34" w:rsidRPr="008B008B" w:rsidTr="006909F8">
        <w:trPr>
          <w:trHeight w:val="270"/>
        </w:trPr>
        <w:tc>
          <w:tcPr>
            <w:tcW w:w="1668"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600332</w:t>
            </w:r>
          </w:p>
        </w:tc>
        <w:tc>
          <w:tcPr>
            <w:tcW w:w="1701"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白云山</w:t>
            </w:r>
          </w:p>
        </w:tc>
        <w:tc>
          <w:tcPr>
            <w:tcW w:w="1559"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133485</w:t>
            </w:r>
          </w:p>
        </w:tc>
        <w:tc>
          <w:tcPr>
            <w:tcW w:w="1843"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30.18</w:t>
            </w:r>
          </w:p>
        </w:tc>
        <w:tc>
          <w:tcPr>
            <w:tcW w:w="1559"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3.94%</w:t>
            </w:r>
          </w:p>
        </w:tc>
      </w:tr>
      <w:tr w:rsidR="00994A34" w:rsidRPr="008B008B" w:rsidTr="006909F8">
        <w:trPr>
          <w:trHeight w:val="270"/>
        </w:trPr>
        <w:tc>
          <w:tcPr>
            <w:tcW w:w="1668"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601155</w:t>
            </w:r>
          </w:p>
        </w:tc>
        <w:tc>
          <w:tcPr>
            <w:tcW w:w="1701"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新城控股</w:t>
            </w:r>
          </w:p>
        </w:tc>
        <w:tc>
          <w:tcPr>
            <w:tcW w:w="1559"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129500</w:t>
            </w:r>
          </w:p>
        </w:tc>
        <w:tc>
          <w:tcPr>
            <w:tcW w:w="1843"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26.81</w:t>
            </w:r>
          </w:p>
        </w:tc>
        <w:tc>
          <w:tcPr>
            <w:tcW w:w="1559"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3.39%</w:t>
            </w:r>
          </w:p>
        </w:tc>
      </w:tr>
      <w:tr w:rsidR="00994A34" w:rsidRPr="008B008B" w:rsidTr="006909F8">
        <w:trPr>
          <w:trHeight w:val="270"/>
        </w:trPr>
        <w:tc>
          <w:tcPr>
            <w:tcW w:w="1668"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300347</w:t>
            </w:r>
          </w:p>
        </w:tc>
        <w:tc>
          <w:tcPr>
            <w:tcW w:w="1701"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泰格医药</w:t>
            </w:r>
          </w:p>
        </w:tc>
        <w:tc>
          <w:tcPr>
            <w:tcW w:w="1559"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103600</w:t>
            </w:r>
          </w:p>
        </w:tc>
        <w:tc>
          <w:tcPr>
            <w:tcW w:w="1843"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32.53</w:t>
            </w:r>
          </w:p>
        </w:tc>
        <w:tc>
          <w:tcPr>
            <w:tcW w:w="1559"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3.29%</w:t>
            </w:r>
          </w:p>
        </w:tc>
      </w:tr>
      <w:tr w:rsidR="00994A34" w:rsidRPr="008B008B" w:rsidTr="006909F8">
        <w:trPr>
          <w:trHeight w:val="270"/>
        </w:trPr>
        <w:tc>
          <w:tcPr>
            <w:tcW w:w="1668"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000503</w:t>
            </w:r>
          </w:p>
        </w:tc>
        <w:tc>
          <w:tcPr>
            <w:tcW w:w="1701"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海虹控股</w:t>
            </w:r>
          </w:p>
        </w:tc>
        <w:tc>
          <w:tcPr>
            <w:tcW w:w="1559"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82400</w:t>
            </w:r>
          </w:p>
        </w:tc>
        <w:tc>
          <w:tcPr>
            <w:tcW w:w="1843"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40.67</w:t>
            </w:r>
          </w:p>
        </w:tc>
        <w:tc>
          <w:tcPr>
            <w:tcW w:w="1559"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3.28%</w:t>
            </w:r>
          </w:p>
        </w:tc>
      </w:tr>
      <w:tr w:rsidR="00994A34" w:rsidRPr="008B008B" w:rsidTr="006909F8">
        <w:trPr>
          <w:trHeight w:val="270"/>
        </w:trPr>
        <w:tc>
          <w:tcPr>
            <w:tcW w:w="1668"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300015</w:t>
            </w:r>
          </w:p>
        </w:tc>
        <w:tc>
          <w:tcPr>
            <w:tcW w:w="1701"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爱尔眼科</w:t>
            </w:r>
          </w:p>
        </w:tc>
        <w:tc>
          <w:tcPr>
            <w:tcW w:w="1559"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114363</w:t>
            </w:r>
          </w:p>
        </w:tc>
        <w:tc>
          <w:tcPr>
            <w:tcW w:w="1843"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23.65</w:t>
            </w:r>
          </w:p>
        </w:tc>
        <w:tc>
          <w:tcPr>
            <w:tcW w:w="1559"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2.64%</w:t>
            </w:r>
          </w:p>
        </w:tc>
      </w:tr>
      <w:tr w:rsidR="00994A34" w:rsidRPr="008B008B" w:rsidTr="006909F8">
        <w:trPr>
          <w:trHeight w:val="270"/>
        </w:trPr>
        <w:tc>
          <w:tcPr>
            <w:tcW w:w="1668"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600060</w:t>
            </w:r>
          </w:p>
        </w:tc>
        <w:tc>
          <w:tcPr>
            <w:tcW w:w="1701"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海信电器</w:t>
            </w:r>
          </w:p>
        </w:tc>
        <w:tc>
          <w:tcPr>
            <w:tcW w:w="1559"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230700</w:t>
            </w:r>
          </w:p>
        </w:tc>
        <w:tc>
          <w:tcPr>
            <w:tcW w:w="1843"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15.65</w:t>
            </w:r>
          </w:p>
        </w:tc>
        <w:tc>
          <w:tcPr>
            <w:tcW w:w="1559"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3.53%</w:t>
            </w:r>
          </w:p>
        </w:tc>
      </w:tr>
      <w:tr w:rsidR="00994A34" w:rsidRPr="008B008B" w:rsidTr="006909F8">
        <w:trPr>
          <w:trHeight w:val="270"/>
        </w:trPr>
        <w:tc>
          <w:tcPr>
            <w:tcW w:w="1668"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600380</w:t>
            </w:r>
          </w:p>
        </w:tc>
        <w:tc>
          <w:tcPr>
            <w:tcW w:w="1701"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健康元</w:t>
            </w:r>
          </w:p>
        </w:tc>
        <w:tc>
          <w:tcPr>
            <w:tcW w:w="1559"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308400</w:t>
            </w:r>
          </w:p>
        </w:tc>
        <w:tc>
          <w:tcPr>
            <w:tcW w:w="1843"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10.89</w:t>
            </w:r>
          </w:p>
        </w:tc>
        <w:tc>
          <w:tcPr>
            <w:tcW w:w="1559"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3.28%</w:t>
            </w:r>
          </w:p>
        </w:tc>
      </w:tr>
      <w:tr w:rsidR="00994A34" w:rsidRPr="008B008B" w:rsidTr="006909F8">
        <w:trPr>
          <w:trHeight w:val="270"/>
        </w:trPr>
        <w:tc>
          <w:tcPr>
            <w:tcW w:w="1668"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lastRenderedPageBreak/>
              <w:t>000661</w:t>
            </w:r>
          </w:p>
        </w:tc>
        <w:tc>
          <w:tcPr>
            <w:tcW w:w="1701"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长春高新</w:t>
            </w:r>
          </w:p>
        </w:tc>
        <w:tc>
          <w:tcPr>
            <w:tcW w:w="1559"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18700</w:t>
            </w:r>
          </w:p>
        </w:tc>
        <w:tc>
          <w:tcPr>
            <w:tcW w:w="1843"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143.39</w:t>
            </w:r>
          </w:p>
        </w:tc>
        <w:tc>
          <w:tcPr>
            <w:tcW w:w="1559"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2.62%</w:t>
            </w:r>
          </w:p>
        </w:tc>
      </w:tr>
      <w:tr w:rsidR="00994A34" w:rsidRPr="008B008B" w:rsidTr="006909F8">
        <w:trPr>
          <w:trHeight w:val="270"/>
        </w:trPr>
        <w:tc>
          <w:tcPr>
            <w:tcW w:w="1668"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600518</w:t>
            </w:r>
          </w:p>
        </w:tc>
        <w:tc>
          <w:tcPr>
            <w:tcW w:w="1701"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康美药业</w:t>
            </w:r>
          </w:p>
        </w:tc>
        <w:tc>
          <w:tcPr>
            <w:tcW w:w="1559"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152700</w:t>
            </w:r>
          </w:p>
        </w:tc>
        <w:tc>
          <w:tcPr>
            <w:tcW w:w="1843"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20.24</w:t>
            </w:r>
          </w:p>
        </w:tc>
        <w:tc>
          <w:tcPr>
            <w:tcW w:w="1559" w:type="dxa"/>
            <w:noWrap/>
            <w:hideMark/>
          </w:tcPr>
          <w:p w:rsidR="00994A34" w:rsidRPr="008B008B" w:rsidRDefault="00994A34" w:rsidP="006909F8">
            <w:pPr>
              <w:spacing w:line="360" w:lineRule="auto"/>
              <w:ind w:firstLineChars="200" w:firstLine="400"/>
              <w:rPr>
                <w:rFonts w:ascii="微软雅黑" w:eastAsia="微软雅黑" w:hAnsi="微软雅黑"/>
                <w:color w:val="000000"/>
                <w:sz w:val="20"/>
                <w:szCs w:val="24"/>
              </w:rPr>
            </w:pPr>
            <w:r w:rsidRPr="008B008B">
              <w:rPr>
                <w:rFonts w:ascii="微软雅黑" w:eastAsia="微软雅黑" w:hAnsi="微软雅黑" w:hint="eastAsia"/>
                <w:color w:val="000000"/>
                <w:sz w:val="20"/>
                <w:szCs w:val="24"/>
              </w:rPr>
              <w:t>3.02%</w:t>
            </w:r>
          </w:p>
        </w:tc>
      </w:tr>
    </w:tbl>
    <w:p w:rsidR="00490CB5" w:rsidRPr="000C3852" w:rsidRDefault="00490CB5" w:rsidP="004077D2">
      <w:pPr>
        <w:pStyle w:val="1"/>
        <w:spacing w:beforeLines="100" w:before="312" w:afterLines="100" w:after="312" w:line="360" w:lineRule="auto"/>
        <w:jc w:val="center"/>
        <w:rPr>
          <w:rFonts w:ascii="微软雅黑" w:eastAsia="微软雅黑" w:hAnsi="微软雅黑"/>
          <w:color w:val="000000"/>
          <w:kern w:val="0"/>
          <w:sz w:val="28"/>
          <w:szCs w:val="24"/>
        </w:rPr>
      </w:pPr>
      <w:bookmarkStart w:id="0" w:name="_GoBack"/>
      <w:bookmarkEnd w:id="0"/>
      <w:r w:rsidRPr="000C3852">
        <w:rPr>
          <w:rFonts w:ascii="微软雅黑" w:eastAsia="微软雅黑" w:hAnsi="微软雅黑" w:hint="eastAsia"/>
          <w:color w:val="000000"/>
          <w:kern w:val="0"/>
          <w:sz w:val="28"/>
          <w:szCs w:val="24"/>
        </w:rPr>
        <w:t>§</w:t>
      </w:r>
      <w:r w:rsidR="00571097">
        <w:rPr>
          <w:rFonts w:ascii="微软雅黑" w:eastAsia="微软雅黑" w:hAnsi="微软雅黑"/>
          <w:color w:val="000000"/>
          <w:kern w:val="0"/>
          <w:sz w:val="28"/>
          <w:szCs w:val="24"/>
        </w:rPr>
        <w:t>5</w:t>
      </w:r>
      <w:r w:rsidRPr="000C3852">
        <w:rPr>
          <w:rFonts w:ascii="微软雅黑" w:eastAsia="微软雅黑" w:hAnsi="微软雅黑"/>
          <w:color w:val="000000"/>
          <w:kern w:val="0"/>
          <w:sz w:val="28"/>
          <w:szCs w:val="24"/>
        </w:rPr>
        <w:t xml:space="preserve"> </w:t>
      </w:r>
      <w:r w:rsidRPr="000C3852">
        <w:rPr>
          <w:rFonts w:ascii="微软雅黑" w:eastAsia="微软雅黑" w:hAnsi="微软雅黑" w:hint="eastAsia"/>
          <w:color w:val="000000"/>
          <w:kern w:val="0"/>
          <w:sz w:val="28"/>
          <w:szCs w:val="24"/>
        </w:rPr>
        <w:t>市场回顾及产品运作分析</w:t>
      </w:r>
    </w:p>
    <w:p w:rsidR="00490CB5" w:rsidRPr="000C3852" w:rsidRDefault="004F0699" w:rsidP="00F55D3D">
      <w:pPr>
        <w:spacing w:line="360" w:lineRule="auto"/>
        <w:rPr>
          <w:rFonts w:ascii="微软雅黑" w:eastAsia="微软雅黑" w:hAnsi="微软雅黑"/>
          <w:b/>
          <w:sz w:val="24"/>
          <w:szCs w:val="28"/>
        </w:rPr>
      </w:pPr>
      <w:r>
        <w:rPr>
          <w:rFonts w:ascii="微软雅黑" w:eastAsia="微软雅黑" w:hAnsi="微软雅黑"/>
          <w:b/>
          <w:sz w:val="24"/>
          <w:szCs w:val="28"/>
        </w:rPr>
        <w:t>5</w:t>
      </w:r>
      <w:r w:rsidR="00490CB5" w:rsidRPr="000C3852">
        <w:rPr>
          <w:rFonts w:ascii="微软雅黑" w:eastAsia="微软雅黑" w:hAnsi="微软雅黑"/>
          <w:b/>
          <w:sz w:val="24"/>
          <w:szCs w:val="28"/>
        </w:rPr>
        <w:t xml:space="preserve">.1 </w:t>
      </w:r>
      <w:r w:rsidR="00490CB5" w:rsidRPr="000C3852">
        <w:rPr>
          <w:rFonts w:ascii="微软雅黑" w:eastAsia="微软雅黑" w:hAnsi="微软雅黑" w:hint="eastAsia"/>
          <w:b/>
          <w:sz w:val="24"/>
          <w:szCs w:val="28"/>
        </w:rPr>
        <w:t>市场回顾</w:t>
      </w:r>
    </w:p>
    <w:p w:rsidR="007168BF" w:rsidRDefault="007168BF" w:rsidP="007168BF">
      <w:pPr>
        <w:spacing w:line="360" w:lineRule="auto"/>
        <w:ind w:firstLineChars="200" w:firstLine="480"/>
        <w:rPr>
          <w:rFonts w:ascii="微软雅黑" w:eastAsia="微软雅黑" w:hAnsi="微软雅黑"/>
          <w:sz w:val="24"/>
          <w:szCs w:val="28"/>
        </w:rPr>
      </w:pPr>
      <w:r>
        <w:rPr>
          <w:rFonts w:ascii="微软雅黑" w:eastAsia="微软雅黑" w:hAnsi="微软雅黑" w:hint="eastAsia"/>
          <w:sz w:val="24"/>
          <w:szCs w:val="28"/>
        </w:rPr>
        <w:t>整体看17年经济略超预期，主要受益于供给侧改革和地产去库存政策。低库存和海外复苏形成了周期共振。上半年经济增速超出预期，三季度略有回落，但依然平稳，四季度需求继续缓慢回落，但总体增速仍维持较高水平。当前工业企业库存水平已经明显回升，继续大幅补库存动力减弱，库存水平大概率震荡回落。由于经济增速偏高，稳增长诉求下降，金融监管有序推进。金融监管与去杠杆对货币政策会有所影响，同时，预计通胀水平的上升也会制约货币宽松。今年人民币汇率出现了明显的升值，虽然四季度人民币小幅贬值，中期来看汇率大概率会保持震荡，但当前国内经济韧性较强，全球经济环境稳中向好，人民币汇率不具备大幅波动基础。</w:t>
      </w:r>
    </w:p>
    <w:p w:rsidR="003F3AD9" w:rsidRDefault="007168BF" w:rsidP="007168BF">
      <w:pPr>
        <w:spacing w:line="360" w:lineRule="auto"/>
        <w:ind w:firstLineChars="200" w:firstLine="480"/>
        <w:rPr>
          <w:rFonts w:ascii="微软雅黑" w:eastAsia="微软雅黑" w:hAnsi="微软雅黑"/>
          <w:sz w:val="24"/>
          <w:szCs w:val="28"/>
        </w:rPr>
      </w:pPr>
      <w:r>
        <w:rPr>
          <w:rFonts w:ascii="微软雅黑" w:eastAsia="微软雅黑" w:hAnsi="微软雅黑" w:hint="eastAsia"/>
          <w:sz w:val="24"/>
          <w:szCs w:val="28"/>
        </w:rPr>
        <w:t>权益市场方面，从整个区间运作情况来看，大盘股整体表现好于中小创，行业和个股分化严重。以白酒、家电和部分医药蓝筹为代表的消费板块取得了较好的超额收益，但整体成长板块处于横盘整理和阴跌态势，继续消化高估值、业绩不达标、解禁等利空因素，表现相对较差。当前市场各个行业都已经开始普遍认同“龙头”的投资价值，这就意味着投资的逻辑已经开始慢慢地从公司的短期基本面转向了中期的行业竞争格局重构。在这种逻辑下，市场将不再不关心短期的基本面波动，而将关注的重点放在行业竞争格局重构、优势企业中长期的行业地位上来</w:t>
      </w:r>
      <w:r w:rsidR="003F3AD9" w:rsidRPr="002A0B34">
        <w:rPr>
          <w:rFonts w:ascii="微软雅黑" w:eastAsia="微软雅黑" w:hAnsi="微软雅黑" w:hint="eastAsia"/>
          <w:sz w:val="24"/>
          <w:szCs w:val="28"/>
        </w:rPr>
        <w:t>。</w:t>
      </w:r>
    </w:p>
    <w:p w:rsidR="00490CB5" w:rsidRPr="000C3852" w:rsidRDefault="004F0699" w:rsidP="00F55D3D">
      <w:pPr>
        <w:spacing w:line="360" w:lineRule="auto"/>
        <w:rPr>
          <w:rFonts w:ascii="微软雅黑" w:eastAsia="微软雅黑" w:hAnsi="微软雅黑"/>
          <w:b/>
          <w:sz w:val="24"/>
          <w:szCs w:val="28"/>
        </w:rPr>
      </w:pPr>
      <w:r>
        <w:rPr>
          <w:rFonts w:ascii="微软雅黑" w:eastAsia="微软雅黑" w:hAnsi="微软雅黑"/>
          <w:b/>
          <w:sz w:val="24"/>
          <w:szCs w:val="28"/>
        </w:rPr>
        <w:lastRenderedPageBreak/>
        <w:t>5</w:t>
      </w:r>
      <w:r w:rsidR="00490CB5" w:rsidRPr="000C3852">
        <w:rPr>
          <w:rFonts w:ascii="微软雅黑" w:eastAsia="微软雅黑" w:hAnsi="微软雅黑"/>
          <w:b/>
          <w:sz w:val="24"/>
          <w:szCs w:val="28"/>
        </w:rPr>
        <w:t xml:space="preserve">.2 </w:t>
      </w:r>
      <w:r w:rsidR="00490CB5" w:rsidRPr="000C3852">
        <w:rPr>
          <w:rFonts w:ascii="微软雅黑" w:eastAsia="微软雅黑" w:hAnsi="微软雅黑" w:hint="eastAsia"/>
          <w:b/>
          <w:sz w:val="24"/>
          <w:szCs w:val="28"/>
        </w:rPr>
        <w:t>运作分析</w:t>
      </w:r>
    </w:p>
    <w:p w:rsidR="00CA1F8C" w:rsidRDefault="00CA1F8C" w:rsidP="00F55D3D">
      <w:pPr>
        <w:spacing w:line="360" w:lineRule="auto"/>
        <w:ind w:firstLineChars="200" w:firstLine="480"/>
        <w:rPr>
          <w:rFonts w:ascii="微软雅黑" w:eastAsia="微软雅黑" w:hAnsi="微软雅黑"/>
          <w:sz w:val="24"/>
          <w:szCs w:val="28"/>
        </w:rPr>
      </w:pPr>
      <w:r w:rsidRPr="00986B19">
        <w:rPr>
          <w:rFonts w:ascii="微软雅黑" w:eastAsia="微软雅黑" w:hAnsi="微软雅黑" w:hint="eastAsia"/>
          <w:sz w:val="24"/>
          <w:szCs w:val="28"/>
        </w:rPr>
        <w:t>产品成立初期以货币基金、</w:t>
      </w:r>
      <w:r>
        <w:rPr>
          <w:rFonts w:ascii="微软雅黑" w:eastAsia="微软雅黑" w:hAnsi="微软雅黑" w:hint="eastAsia"/>
          <w:sz w:val="24"/>
          <w:szCs w:val="28"/>
        </w:rPr>
        <w:t>同业存款</w:t>
      </w:r>
      <w:r w:rsidRPr="00986B19">
        <w:rPr>
          <w:rFonts w:ascii="微软雅黑" w:eastAsia="微软雅黑" w:hAnsi="微软雅黑" w:hint="eastAsia"/>
          <w:sz w:val="24"/>
          <w:szCs w:val="28"/>
        </w:rPr>
        <w:t>等流动性较好的资产为主，后续逐步增加</w:t>
      </w:r>
      <w:r w:rsidRPr="00384E6B">
        <w:rPr>
          <w:rFonts w:ascii="微软雅黑" w:eastAsia="微软雅黑" w:hAnsi="微软雅黑" w:hint="eastAsia"/>
          <w:sz w:val="24"/>
          <w:szCs w:val="28"/>
        </w:rPr>
        <w:t>了对固定收益类资产</w:t>
      </w:r>
      <w:r w:rsidRPr="00986B19">
        <w:rPr>
          <w:rFonts w:ascii="微软雅黑" w:eastAsia="微软雅黑" w:hAnsi="微软雅黑" w:hint="eastAsia"/>
          <w:sz w:val="24"/>
          <w:szCs w:val="28"/>
        </w:rPr>
        <w:t>、</w:t>
      </w:r>
      <w:r>
        <w:rPr>
          <w:rFonts w:ascii="微软雅黑" w:eastAsia="微软雅黑" w:hAnsi="微软雅黑" w:hint="eastAsia"/>
          <w:sz w:val="24"/>
          <w:szCs w:val="28"/>
        </w:rPr>
        <w:t>信贷资产流转类及结构化配资等低风险权益类资产的配置</w:t>
      </w:r>
      <w:r w:rsidRPr="00986B19">
        <w:rPr>
          <w:rFonts w:ascii="微软雅黑" w:eastAsia="微软雅黑" w:hAnsi="微软雅黑" w:hint="eastAsia"/>
          <w:sz w:val="24"/>
          <w:szCs w:val="28"/>
        </w:rPr>
        <w:t>，并根据市场机会动态选择时机配置</w:t>
      </w:r>
      <w:r>
        <w:rPr>
          <w:rFonts w:ascii="微软雅黑" w:eastAsia="微软雅黑" w:hAnsi="微软雅黑" w:hint="eastAsia"/>
          <w:sz w:val="24"/>
          <w:szCs w:val="28"/>
        </w:rPr>
        <w:t>少量</w:t>
      </w:r>
      <w:r w:rsidRPr="00986B19">
        <w:rPr>
          <w:rFonts w:ascii="微软雅黑" w:eastAsia="微软雅黑" w:hAnsi="微软雅黑" w:hint="eastAsia"/>
          <w:sz w:val="24"/>
          <w:szCs w:val="28"/>
        </w:rPr>
        <w:t>权益类资产。</w:t>
      </w:r>
      <w:r w:rsidRPr="000C3852">
        <w:rPr>
          <w:rFonts w:ascii="微软雅黑" w:eastAsia="微软雅黑" w:hAnsi="微软雅黑" w:hint="eastAsia"/>
          <w:sz w:val="24"/>
          <w:szCs w:val="28"/>
        </w:rPr>
        <w:t>整体</w:t>
      </w:r>
      <w:r w:rsidRPr="000C3852">
        <w:rPr>
          <w:rFonts w:ascii="微软雅黑" w:eastAsia="微软雅黑" w:hAnsi="微软雅黑"/>
          <w:sz w:val="24"/>
          <w:szCs w:val="28"/>
        </w:rPr>
        <w:t>上产品还是</w:t>
      </w:r>
      <w:r>
        <w:rPr>
          <w:rFonts w:ascii="微软雅黑" w:eastAsia="微软雅黑" w:hAnsi="微软雅黑" w:hint="eastAsia"/>
          <w:sz w:val="24"/>
          <w:szCs w:val="28"/>
        </w:rPr>
        <w:t>保持</w:t>
      </w:r>
      <w:r w:rsidRPr="000C3852">
        <w:rPr>
          <w:rFonts w:ascii="微软雅黑" w:eastAsia="微软雅黑" w:hAnsi="微软雅黑"/>
          <w:sz w:val="24"/>
          <w:szCs w:val="28"/>
        </w:rPr>
        <w:t>类固定收益资产配置为主的基调，</w:t>
      </w:r>
      <w:r w:rsidRPr="000C3852">
        <w:rPr>
          <w:rFonts w:ascii="微软雅黑" w:eastAsia="微软雅黑" w:hAnsi="微软雅黑" w:hint="eastAsia"/>
          <w:sz w:val="24"/>
          <w:szCs w:val="28"/>
        </w:rPr>
        <w:t>同时</w:t>
      </w:r>
      <w:r w:rsidRPr="000C3852">
        <w:rPr>
          <w:rFonts w:ascii="微软雅黑" w:eastAsia="微软雅黑" w:hAnsi="微软雅黑"/>
          <w:sz w:val="24"/>
          <w:szCs w:val="28"/>
        </w:rPr>
        <w:t>结合跨季、跨半年</w:t>
      </w:r>
      <w:r>
        <w:rPr>
          <w:rFonts w:ascii="微软雅黑" w:eastAsia="微软雅黑" w:hAnsi="微软雅黑" w:hint="eastAsia"/>
          <w:sz w:val="24"/>
          <w:szCs w:val="28"/>
        </w:rPr>
        <w:t>等</w:t>
      </w:r>
      <w:r w:rsidRPr="000C3852">
        <w:rPr>
          <w:rFonts w:ascii="微软雅黑" w:eastAsia="微软雅黑" w:hAnsi="微软雅黑"/>
          <w:sz w:val="24"/>
          <w:szCs w:val="28"/>
        </w:rPr>
        <w:t>特殊时点</w:t>
      </w:r>
      <w:r>
        <w:rPr>
          <w:rFonts w:ascii="微软雅黑" w:eastAsia="微软雅黑" w:hAnsi="微软雅黑" w:hint="eastAsia"/>
          <w:sz w:val="24"/>
          <w:szCs w:val="28"/>
        </w:rPr>
        <w:t>把握阶段</w:t>
      </w:r>
      <w:r>
        <w:rPr>
          <w:rFonts w:ascii="微软雅黑" w:eastAsia="微软雅黑" w:hAnsi="微软雅黑"/>
          <w:sz w:val="24"/>
          <w:szCs w:val="28"/>
        </w:rPr>
        <w:t>交易性</w:t>
      </w:r>
      <w:r>
        <w:rPr>
          <w:rFonts w:ascii="微软雅黑" w:eastAsia="微软雅黑" w:hAnsi="微软雅黑" w:hint="eastAsia"/>
          <w:sz w:val="24"/>
          <w:szCs w:val="28"/>
        </w:rPr>
        <w:t>机会</w:t>
      </w:r>
      <w:r w:rsidRPr="000C3852">
        <w:rPr>
          <w:rFonts w:ascii="微软雅黑" w:eastAsia="微软雅黑" w:hAnsi="微软雅黑"/>
          <w:sz w:val="24"/>
          <w:szCs w:val="28"/>
        </w:rPr>
        <w:t>。</w:t>
      </w:r>
    </w:p>
    <w:p w:rsidR="00490CB5" w:rsidRPr="000C3852" w:rsidRDefault="004F0699" w:rsidP="00F55D3D">
      <w:pPr>
        <w:spacing w:line="360" w:lineRule="auto"/>
        <w:rPr>
          <w:rFonts w:ascii="微软雅黑" w:eastAsia="微软雅黑" w:hAnsi="微软雅黑"/>
          <w:b/>
          <w:sz w:val="24"/>
          <w:szCs w:val="28"/>
        </w:rPr>
      </w:pPr>
      <w:r>
        <w:rPr>
          <w:rFonts w:ascii="微软雅黑" w:eastAsia="微软雅黑" w:hAnsi="微软雅黑"/>
          <w:b/>
          <w:sz w:val="24"/>
          <w:szCs w:val="28"/>
        </w:rPr>
        <w:t>5</w:t>
      </w:r>
      <w:r w:rsidR="00490CB5" w:rsidRPr="000C3852">
        <w:rPr>
          <w:rFonts w:ascii="微软雅黑" w:eastAsia="微软雅黑" w:hAnsi="微软雅黑" w:hint="eastAsia"/>
          <w:b/>
          <w:sz w:val="24"/>
          <w:szCs w:val="28"/>
        </w:rPr>
        <w:t>.3</w:t>
      </w:r>
      <w:r w:rsidR="00490CB5" w:rsidRPr="000C3852">
        <w:rPr>
          <w:rFonts w:ascii="微软雅黑" w:eastAsia="微软雅黑" w:hAnsi="微软雅黑"/>
          <w:b/>
          <w:sz w:val="24"/>
          <w:szCs w:val="28"/>
        </w:rPr>
        <w:t xml:space="preserve"> </w:t>
      </w:r>
      <w:r w:rsidR="00490CB5" w:rsidRPr="000C3852">
        <w:rPr>
          <w:rFonts w:ascii="微软雅黑" w:eastAsia="微软雅黑" w:hAnsi="微软雅黑" w:hint="eastAsia"/>
          <w:b/>
          <w:sz w:val="24"/>
          <w:szCs w:val="28"/>
        </w:rPr>
        <w:t>投资展望</w:t>
      </w:r>
    </w:p>
    <w:p w:rsidR="007168BF" w:rsidRDefault="007168BF" w:rsidP="007168BF">
      <w:pPr>
        <w:spacing w:line="360" w:lineRule="auto"/>
        <w:ind w:firstLineChars="200" w:firstLine="480"/>
        <w:rPr>
          <w:rFonts w:ascii="微软雅黑" w:eastAsia="微软雅黑" w:hAnsi="微软雅黑"/>
          <w:sz w:val="24"/>
          <w:szCs w:val="28"/>
        </w:rPr>
      </w:pPr>
      <w:r>
        <w:rPr>
          <w:rFonts w:ascii="微软雅黑" w:eastAsia="微软雅黑" w:hAnsi="微软雅黑" w:hint="eastAsia"/>
          <w:sz w:val="24"/>
          <w:szCs w:val="28"/>
        </w:rPr>
        <w:t>18年一季度流动性环境可能季节性宽松，但全年金融监管和去杠杆基调不太会有明显变化。17年四季度受到金融监管和通胀预期影响，流动性环境偏紧，18年初流动性有望环比改善。同时预计金融监管和去杠杆政策会持续推进，货币政策大概率维持稳健中性。财政政策方面，PPP审核从严，财政支出预期也不宜过高。18年投资需求可能缓慢下降，其中地产投资增速较17年略降，基建和制造业大概率平稳，由于集中度提升，各行业龙头盈利相对稳定。</w:t>
      </w:r>
    </w:p>
    <w:p w:rsidR="003F3AD9" w:rsidRPr="00851B20" w:rsidRDefault="007168BF" w:rsidP="007168BF">
      <w:pPr>
        <w:spacing w:line="360" w:lineRule="auto"/>
        <w:ind w:firstLineChars="200" w:firstLine="480"/>
        <w:rPr>
          <w:rFonts w:ascii="微软雅黑" w:eastAsia="微软雅黑" w:hAnsi="微软雅黑"/>
          <w:sz w:val="24"/>
          <w:szCs w:val="28"/>
        </w:rPr>
      </w:pPr>
      <w:r>
        <w:rPr>
          <w:rFonts w:ascii="微软雅黑" w:eastAsia="微软雅黑" w:hAnsi="微软雅黑" w:hint="eastAsia"/>
          <w:sz w:val="24"/>
          <w:szCs w:val="28"/>
        </w:rPr>
        <w:t>从权益市场总体来看，板块相对估值保持稳定，预计18年整体估值水平难有大幅提升，但结构上有不少公司业绩确定，估值较低，17年由于市场风格因素被忽视，18年有估值修复的空间。总体来看，由于17年龙头白马风格比较极致，有很多制造和新兴产业龙头公司被市场所忽视，消费品中大众消费品、医药等行业关注度也较低。参考美国转型期经验，消费、金融和服务业有望跨越周期，估值合理持续增长的龙头公司，仍有估值提升空间，业绩稳定、估值合理的消费品以及高股息品种值得持续关注</w:t>
      </w:r>
      <w:r w:rsidR="003F3AD9" w:rsidRPr="00562ACC">
        <w:rPr>
          <w:rFonts w:ascii="微软雅黑" w:eastAsia="微软雅黑" w:hAnsi="微软雅黑" w:hint="eastAsia"/>
          <w:sz w:val="24"/>
          <w:szCs w:val="28"/>
        </w:rPr>
        <w:t>。</w:t>
      </w:r>
    </w:p>
    <w:p w:rsidR="00974AD0" w:rsidRPr="0055767A" w:rsidRDefault="00750D48" w:rsidP="004077D2">
      <w:pPr>
        <w:pStyle w:val="1"/>
        <w:spacing w:beforeLines="100" w:before="312" w:afterLines="100" w:after="312" w:line="360" w:lineRule="auto"/>
        <w:jc w:val="center"/>
        <w:rPr>
          <w:rFonts w:ascii="微软雅黑" w:eastAsia="微软雅黑" w:hAnsi="微软雅黑"/>
          <w:color w:val="000000"/>
          <w:kern w:val="0"/>
          <w:sz w:val="28"/>
          <w:szCs w:val="24"/>
        </w:rPr>
      </w:pPr>
      <w:r w:rsidRPr="004F0699">
        <w:rPr>
          <w:rFonts w:ascii="微软雅黑" w:eastAsia="微软雅黑" w:hAnsi="微软雅黑" w:hint="eastAsia"/>
          <w:color w:val="000000"/>
          <w:kern w:val="0"/>
          <w:sz w:val="28"/>
          <w:szCs w:val="24"/>
        </w:rPr>
        <w:lastRenderedPageBreak/>
        <w:t>§</w:t>
      </w:r>
      <w:r w:rsidR="00973260" w:rsidRPr="004F0699">
        <w:rPr>
          <w:rFonts w:ascii="微软雅黑" w:eastAsia="微软雅黑" w:hAnsi="微软雅黑"/>
          <w:color w:val="000000"/>
          <w:kern w:val="0"/>
          <w:sz w:val="28"/>
          <w:szCs w:val="24"/>
        </w:rPr>
        <w:t>6</w:t>
      </w:r>
      <w:r w:rsidRPr="004F0699">
        <w:rPr>
          <w:rFonts w:ascii="微软雅黑" w:eastAsia="微软雅黑" w:hAnsi="微软雅黑"/>
          <w:color w:val="000000"/>
          <w:kern w:val="0"/>
          <w:sz w:val="28"/>
          <w:szCs w:val="24"/>
        </w:rPr>
        <w:t xml:space="preserve"> </w:t>
      </w:r>
      <w:r w:rsidRPr="004F0699">
        <w:rPr>
          <w:rFonts w:ascii="微软雅黑" w:eastAsia="微软雅黑" w:hAnsi="微软雅黑" w:hint="eastAsia"/>
          <w:color w:val="000000"/>
          <w:kern w:val="0"/>
          <w:sz w:val="28"/>
          <w:szCs w:val="24"/>
        </w:rPr>
        <w:t>开放式</w:t>
      </w:r>
      <w:r w:rsidR="00CD2923" w:rsidRPr="004F0699">
        <w:rPr>
          <w:rFonts w:ascii="微软雅黑" w:eastAsia="微软雅黑" w:hAnsi="微软雅黑" w:hint="eastAsia"/>
          <w:color w:val="000000"/>
          <w:kern w:val="0"/>
          <w:sz w:val="28"/>
          <w:szCs w:val="24"/>
        </w:rPr>
        <w:t>产品</w:t>
      </w:r>
      <w:r w:rsidRPr="004F0699">
        <w:rPr>
          <w:rFonts w:ascii="微软雅黑" w:eastAsia="微软雅黑" w:hAnsi="微软雅黑" w:hint="eastAsia"/>
          <w:color w:val="000000"/>
          <w:kern w:val="0"/>
          <w:sz w:val="28"/>
          <w:szCs w:val="24"/>
        </w:rPr>
        <w:t>份额变动</w:t>
      </w:r>
    </w:p>
    <w:p w:rsidR="00750D48" w:rsidRPr="00173314" w:rsidRDefault="00750D48" w:rsidP="00F55D3D">
      <w:pPr>
        <w:autoSpaceDE w:val="0"/>
        <w:autoSpaceDN w:val="0"/>
        <w:adjustRightInd w:val="0"/>
        <w:spacing w:before="29" w:line="360" w:lineRule="auto"/>
        <w:ind w:left="15"/>
        <w:jc w:val="right"/>
        <w:rPr>
          <w:rFonts w:ascii="微软雅黑" w:eastAsia="微软雅黑" w:hAnsi="微软雅黑"/>
          <w:color w:val="000000"/>
          <w:kern w:val="0"/>
          <w:sz w:val="24"/>
          <w:szCs w:val="24"/>
        </w:rPr>
      </w:pPr>
      <w:r w:rsidRPr="00173314">
        <w:rPr>
          <w:rFonts w:ascii="微软雅黑" w:eastAsia="微软雅黑" w:hAnsi="微软雅黑"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173314"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173314" w:rsidRDefault="00750D48" w:rsidP="00F55D3D">
            <w:pPr>
              <w:autoSpaceDE w:val="0"/>
              <w:autoSpaceDN w:val="0"/>
              <w:adjustRightInd w:val="0"/>
              <w:spacing w:before="29" w:line="360" w:lineRule="auto"/>
              <w:ind w:left="17"/>
              <w:jc w:val="left"/>
              <w:rPr>
                <w:rFonts w:ascii="微软雅黑" w:eastAsia="微软雅黑" w:hAnsi="微软雅黑"/>
                <w:color w:val="000000"/>
                <w:kern w:val="0"/>
                <w:sz w:val="24"/>
                <w:szCs w:val="24"/>
              </w:rPr>
            </w:pPr>
            <w:r w:rsidRPr="00173314">
              <w:rPr>
                <w:rFonts w:ascii="微软雅黑" w:eastAsia="微软雅黑" w:hAnsi="微软雅黑"/>
                <w:color w:val="000000"/>
                <w:kern w:val="0"/>
                <w:sz w:val="24"/>
                <w:szCs w:val="24"/>
              </w:rPr>
              <w:t>报告期期初</w:t>
            </w:r>
            <w:r w:rsidR="008D34D8" w:rsidRPr="00173314">
              <w:rPr>
                <w:rFonts w:ascii="微软雅黑" w:eastAsia="微软雅黑" w:hAnsi="微软雅黑" w:hint="eastAsia"/>
                <w:color w:val="000000"/>
                <w:kern w:val="0"/>
                <w:sz w:val="24"/>
                <w:szCs w:val="24"/>
              </w:rPr>
              <w:t>产品</w:t>
            </w:r>
            <w:r w:rsidRPr="00173314">
              <w:rPr>
                <w:rFonts w:ascii="微软雅黑" w:eastAsia="微软雅黑" w:hAnsi="微软雅黑"/>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173314" w:rsidRDefault="00416F87" w:rsidP="00F55D3D">
            <w:pPr>
              <w:autoSpaceDE w:val="0"/>
              <w:autoSpaceDN w:val="0"/>
              <w:adjustRightInd w:val="0"/>
              <w:spacing w:before="29" w:line="360" w:lineRule="auto"/>
              <w:ind w:left="17"/>
              <w:jc w:val="right"/>
              <w:rPr>
                <w:rFonts w:ascii="微软雅黑" w:eastAsia="微软雅黑" w:hAnsi="微软雅黑"/>
                <w:color w:val="000000"/>
                <w:sz w:val="24"/>
                <w:szCs w:val="24"/>
              </w:rPr>
            </w:pPr>
            <w:r>
              <w:rPr>
                <w:rFonts w:ascii="微软雅黑" w:eastAsia="微软雅黑" w:hAnsi="微软雅黑"/>
                <w:color w:val="000000"/>
                <w:sz w:val="24"/>
                <w:szCs w:val="24"/>
              </w:rPr>
              <w:t>1713224000</w:t>
            </w:r>
          </w:p>
        </w:tc>
      </w:tr>
      <w:tr w:rsidR="00750D48" w:rsidRPr="00173314"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173314" w:rsidRDefault="00750D48" w:rsidP="00F55D3D">
            <w:pPr>
              <w:autoSpaceDE w:val="0"/>
              <w:autoSpaceDN w:val="0"/>
              <w:adjustRightInd w:val="0"/>
              <w:spacing w:before="29" w:line="360" w:lineRule="auto"/>
              <w:ind w:left="17"/>
              <w:jc w:val="left"/>
              <w:rPr>
                <w:rFonts w:ascii="微软雅黑" w:eastAsia="微软雅黑" w:hAnsi="微软雅黑"/>
                <w:color w:val="000000"/>
                <w:kern w:val="0"/>
                <w:sz w:val="24"/>
                <w:szCs w:val="24"/>
              </w:rPr>
            </w:pPr>
            <w:r w:rsidRPr="00173314">
              <w:rPr>
                <w:rFonts w:ascii="微软雅黑" w:eastAsia="微软雅黑" w:hAnsi="微软雅黑"/>
                <w:color w:val="000000"/>
                <w:kern w:val="0"/>
                <w:sz w:val="24"/>
                <w:szCs w:val="24"/>
              </w:rPr>
              <w:t>报告期</w:t>
            </w:r>
            <w:r w:rsidR="008D34D8" w:rsidRPr="00173314">
              <w:rPr>
                <w:rFonts w:ascii="微软雅黑" w:eastAsia="微软雅黑" w:hAnsi="微软雅黑" w:hint="eastAsia"/>
                <w:color w:val="000000"/>
                <w:kern w:val="0"/>
                <w:sz w:val="24"/>
                <w:szCs w:val="24"/>
              </w:rPr>
              <w:t>产品</w:t>
            </w:r>
            <w:r w:rsidRPr="00173314">
              <w:rPr>
                <w:rFonts w:ascii="微软雅黑" w:eastAsia="微软雅黑" w:hAnsi="微软雅黑"/>
                <w:color w:val="000000"/>
                <w:kern w:val="0"/>
                <w:sz w:val="24"/>
                <w:szCs w:val="24"/>
              </w:rPr>
              <w:t>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173314" w:rsidRDefault="00082172" w:rsidP="00F55D3D">
            <w:pPr>
              <w:autoSpaceDE w:val="0"/>
              <w:autoSpaceDN w:val="0"/>
              <w:adjustRightInd w:val="0"/>
              <w:spacing w:before="29" w:line="360" w:lineRule="auto"/>
              <w:ind w:left="17"/>
              <w:jc w:val="right"/>
              <w:rPr>
                <w:rFonts w:ascii="微软雅黑" w:eastAsia="微软雅黑" w:hAnsi="微软雅黑"/>
                <w:color w:val="000000"/>
                <w:sz w:val="24"/>
                <w:szCs w:val="24"/>
              </w:rPr>
            </w:pPr>
            <w:r w:rsidRPr="00082172">
              <w:rPr>
                <w:rFonts w:ascii="微软雅黑" w:eastAsia="微软雅黑" w:hAnsi="微软雅黑"/>
                <w:color w:val="000000"/>
                <w:sz w:val="24"/>
                <w:szCs w:val="24"/>
              </w:rPr>
              <w:t>1934394000</w:t>
            </w:r>
          </w:p>
        </w:tc>
      </w:tr>
      <w:tr w:rsidR="00750D48" w:rsidRPr="00173314"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173314" w:rsidRDefault="00750D48" w:rsidP="00F55D3D">
            <w:pPr>
              <w:autoSpaceDE w:val="0"/>
              <w:autoSpaceDN w:val="0"/>
              <w:adjustRightInd w:val="0"/>
              <w:spacing w:before="29" w:line="360" w:lineRule="auto"/>
              <w:ind w:left="17"/>
              <w:jc w:val="left"/>
              <w:rPr>
                <w:rFonts w:ascii="微软雅黑" w:eastAsia="微软雅黑" w:hAnsi="微软雅黑"/>
                <w:color w:val="000000"/>
                <w:kern w:val="0"/>
                <w:sz w:val="24"/>
                <w:szCs w:val="24"/>
              </w:rPr>
            </w:pPr>
            <w:r w:rsidRPr="00173314">
              <w:rPr>
                <w:rFonts w:ascii="微软雅黑" w:eastAsia="微软雅黑" w:hAnsi="微软雅黑"/>
                <w:color w:val="000000"/>
                <w:kern w:val="0"/>
                <w:sz w:val="24"/>
                <w:szCs w:val="24"/>
              </w:rPr>
              <w:t>减：报告期</w:t>
            </w:r>
            <w:r w:rsidR="000F0814">
              <w:rPr>
                <w:rFonts w:ascii="微软雅黑" w:eastAsia="微软雅黑" w:hAnsi="微软雅黑" w:hint="eastAsia"/>
                <w:color w:val="000000"/>
                <w:kern w:val="0"/>
                <w:sz w:val="24"/>
                <w:szCs w:val="24"/>
              </w:rPr>
              <w:t>产品</w:t>
            </w:r>
            <w:r w:rsidRPr="00173314">
              <w:rPr>
                <w:rFonts w:ascii="微软雅黑" w:eastAsia="微软雅黑" w:hAnsi="微软雅黑"/>
                <w:color w:val="000000"/>
                <w:kern w:val="0"/>
                <w:sz w:val="24"/>
                <w:szCs w:val="24"/>
              </w:rPr>
              <w:t>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173314" w:rsidRDefault="00082172" w:rsidP="00F55D3D">
            <w:pPr>
              <w:autoSpaceDE w:val="0"/>
              <w:autoSpaceDN w:val="0"/>
              <w:adjustRightInd w:val="0"/>
              <w:spacing w:before="29" w:line="360" w:lineRule="auto"/>
              <w:ind w:left="17"/>
              <w:jc w:val="right"/>
              <w:rPr>
                <w:rFonts w:ascii="微软雅黑" w:eastAsia="微软雅黑" w:hAnsi="微软雅黑"/>
                <w:color w:val="000000"/>
                <w:sz w:val="24"/>
                <w:szCs w:val="24"/>
              </w:rPr>
            </w:pPr>
            <w:r>
              <w:rPr>
                <w:rFonts w:ascii="微软雅黑" w:eastAsia="微软雅黑" w:hAnsi="微软雅黑" w:hint="eastAsia"/>
                <w:color w:val="000000"/>
                <w:sz w:val="24"/>
                <w:szCs w:val="24"/>
              </w:rPr>
              <w:t>2356950000</w:t>
            </w:r>
          </w:p>
        </w:tc>
      </w:tr>
      <w:tr w:rsidR="00750D48" w:rsidRPr="00173314"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173314" w:rsidRDefault="00750D48" w:rsidP="00F55D3D">
            <w:pPr>
              <w:autoSpaceDE w:val="0"/>
              <w:autoSpaceDN w:val="0"/>
              <w:adjustRightInd w:val="0"/>
              <w:spacing w:before="29" w:line="360" w:lineRule="auto"/>
              <w:ind w:left="17"/>
              <w:jc w:val="left"/>
              <w:rPr>
                <w:rFonts w:ascii="微软雅黑" w:eastAsia="微软雅黑" w:hAnsi="微软雅黑"/>
                <w:color w:val="000000"/>
                <w:kern w:val="0"/>
                <w:sz w:val="24"/>
                <w:szCs w:val="24"/>
              </w:rPr>
            </w:pPr>
            <w:r w:rsidRPr="00173314">
              <w:rPr>
                <w:rFonts w:ascii="微软雅黑" w:eastAsia="微软雅黑" w:hAnsi="微软雅黑"/>
                <w:color w:val="000000"/>
                <w:kern w:val="0"/>
                <w:sz w:val="24"/>
                <w:szCs w:val="24"/>
              </w:rPr>
              <w:t>报告期期末</w:t>
            </w:r>
            <w:r w:rsidR="000F0814">
              <w:rPr>
                <w:rFonts w:ascii="微软雅黑" w:eastAsia="微软雅黑" w:hAnsi="微软雅黑" w:hint="eastAsia"/>
                <w:color w:val="000000"/>
                <w:kern w:val="0"/>
                <w:sz w:val="24"/>
                <w:szCs w:val="24"/>
              </w:rPr>
              <w:t>产品</w:t>
            </w:r>
            <w:r w:rsidRPr="00173314">
              <w:rPr>
                <w:rFonts w:ascii="微软雅黑" w:eastAsia="微软雅黑" w:hAnsi="微软雅黑"/>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173314" w:rsidRDefault="00851B20" w:rsidP="00F55D3D">
            <w:pPr>
              <w:autoSpaceDE w:val="0"/>
              <w:autoSpaceDN w:val="0"/>
              <w:adjustRightInd w:val="0"/>
              <w:spacing w:before="29" w:line="360" w:lineRule="auto"/>
              <w:ind w:left="17"/>
              <w:jc w:val="right"/>
              <w:rPr>
                <w:rFonts w:ascii="微软雅黑" w:eastAsia="微软雅黑" w:hAnsi="微软雅黑"/>
                <w:color w:val="000000"/>
                <w:sz w:val="24"/>
                <w:szCs w:val="24"/>
              </w:rPr>
            </w:pPr>
            <w:r>
              <w:rPr>
                <w:rFonts w:ascii="微软雅黑" w:eastAsia="微软雅黑" w:hAnsi="微软雅黑"/>
                <w:color w:val="000000"/>
                <w:sz w:val="24"/>
                <w:szCs w:val="24"/>
              </w:rPr>
              <w:t>1290668000</w:t>
            </w:r>
          </w:p>
        </w:tc>
      </w:tr>
    </w:tbl>
    <w:p w:rsidR="00BA0A36" w:rsidRPr="00E73F58" w:rsidRDefault="00BA0A36" w:rsidP="004077D2">
      <w:pPr>
        <w:pStyle w:val="1"/>
        <w:spacing w:beforeLines="100" w:before="312" w:afterLines="100" w:after="312" w:line="360" w:lineRule="auto"/>
        <w:jc w:val="center"/>
        <w:rPr>
          <w:rFonts w:ascii="微软雅黑" w:eastAsia="微软雅黑" w:hAnsi="微软雅黑"/>
          <w:color w:val="000000"/>
          <w:kern w:val="0"/>
          <w:sz w:val="28"/>
          <w:szCs w:val="24"/>
        </w:rPr>
      </w:pPr>
      <w:r w:rsidRPr="004F0699">
        <w:rPr>
          <w:rFonts w:ascii="微软雅黑" w:eastAsia="微软雅黑" w:hAnsi="微软雅黑" w:hint="eastAsia"/>
          <w:color w:val="000000"/>
          <w:kern w:val="0"/>
          <w:sz w:val="28"/>
          <w:szCs w:val="24"/>
        </w:rPr>
        <w:t>§</w:t>
      </w:r>
      <w:r>
        <w:rPr>
          <w:rFonts w:ascii="微软雅黑" w:eastAsia="微软雅黑" w:hAnsi="微软雅黑"/>
          <w:color w:val="000000"/>
          <w:kern w:val="0"/>
          <w:sz w:val="28"/>
          <w:szCs w:val="24"/>
        </w:rPr>
        <w:t>7</w:t>
      </w:r>
      <w:r w:rsidRPr="004F0699">
        <w:rPr>
          <w:rFonts w:ascii="微软雅黑" w:eastAsia="微软雅黑" w:hAnsi="微软雅黑"/>
          <w:color w:val="000000"/>
          <w:kern w:val="0"/>
          <w:sz w:val="28"/>
          <w:szCs w:val="24"/>
        </w:rPr>
        <w:t xml:space="preserve"> </w:t>
      </w:r>
      <w:r>
        <w:rPr>
          <w:rFonts w:ascii="微软雅黑" w:eastAsia="微软雅黑" w:hAnsi="微软雅黑" w:hint="eastAsia"/>
          <w:color w:val="000000"/>
          <w:kern w:val="0"/>
          <w:sz w:val="28"/>
          <w:szCs w:val="24"/>
        </w:rPr>
        <w:t>综述</w:t>
      </w:r>
    </w:p>
    <w:p w:rsidR="00CA1F8C" w:rsidRDefault="00082172" w:rsidP="00082172">
      <w:pPr>
        <w:autoSpaceDE w:val="0"/>
        <w:autoSpaceDN w:val="0"/>
        <w:adjustRightInd w:val="0"/>
        <w:spacing w:line="360" w:lineRule="auto"/>
        <w:ind w:firstLineChars="200" w:firstLine="480"/>
        <w:jc w:val="left"/>
        <w:rPr>
          <w:rFonts w:ascii="微软雅黑" w:eastAsia="微软雅黑" w:hAnsi="微软雅黑"/>
          <w:bCs/>
          <w:color w:val="000000"/>
          <w:kern w:val="0"/>
          <w:sz w:val="24"/>
          <w:szCs w:val="24"/>
        </w:rPr>
      </w:pPr>
      <w:r>
        <w:rPr>
          <w:rFonts w:ascii="微软雅黑" w:eastAsia="微软雅黑" w:hAnsi="微软雅黑" w:hint="eastAsia"/>
          <w:bCs/>
          <w:color w:val="000000"/>
          <w:kern w:val="0"/>
          <w:sz w:val="24"/>
          <w:szCs w:val="24"/>
        </w:rPr>
        <w:t>本</w:t>
      </w:r>
      <w:r w:rsidRPr="00BA0A36">
        <w:rPr>
          <w:rFonts w:ascii="微软雅黑" w:eastAsia="微软雅黑" w:hAnsi="微软雅黑" w:hint="eastAsia"/>
          <w:bCs/>
          <w:color w:val="000000"/>
          <w:kern w:val="0"/>
          <w:sz w:val="24"/>
          <w:szCs w:val="24"/>
        </w:rPr>
        <w:t>产品</w:t>
      </w:r>
      <w:r w:rsidRPr="00BA0A36">
        <w:rPr>
          <w:rFonts w:ascii="微软雅黑" w:eastAsia="微软雅黑" w:hAnsi="微软雅黑"/>
          <w:bCs/>
          <w:color w:val="000000"/>
          <w:kern w:val="0"/>
          <w:sz w:val="24"/>
          <w:szCs w:val="24"/>
        </w:rPr>
        <w:t>在</w:t>
      </w:r>
      <w:r>
        <w:rPr>
          <w:rFonts w:ascii="微软雅黑" w:eastAsia="微软雅黑" w:hAnsi="微软雅黑" w:hint="eastAsia"/>
          <w:bCs/>
          <w:color w:val="000000"/>
          <w:kern w:val="0"/>
          <w:sz w:val="24"/>
          <w:szCs w:val="24"/>
        </w:rPr>
        <w:t>本年度</w:t>
      </w:r>
      <w:r>
        <w:rPr>
          <w:rFonts w:ascii="微软雅黑" w:eastAsia="微软雅黑" w:hAnsi="微软雅黑"/>
          <w:bCs/>
          <w:color w:val="000000"/>
          <w:kern w:val="0"/>
          <w:sz w:val="24"/>
          <w:szCs w:val="24"/>
        </w:rPr>
        <w:t>坚持</w:t>
      </w:r>
      <w:r>
        <w:rPr>
          <w:rFonts w:ascii="微软雅黑" w:eastAsia="微软雅黑" w:hAnsi="微软雅黑" w:hint="eastAsia"/>
          <w:bCs/>
          <w:color w:val="000000"/>
          <w:kern w:val="0"/>
          <w:sz w:val="24"/>
          <w:szCs w:val="24"/>
        </w:rPr>
        <w:t>了平衡</w:t>
      </w:r>
      <w:r>
        <w:rPr>
          <w:rFonts w:ascii="微软雅黑" w:eastAsia="微软雅黑" w:hAnsi="微软雅黑"/>
          <w:bCs/>
          <w:color w:val="000000"/>
          <w:kern w:val="0"/>
          <w:sz w:val="24"/>
          <w:szCs w:val="24"/>
        </w:rPr>
        <w:t>稳健的投资策略，</w:t>
      </w:r>
      <w:r>
        <w:rPr>
          <w:rFonts w:ascii="微软雅黑" w:eastAsia="微软雅黑" w:hAnsi="微软雅黑" w:hint="eastAsia"/>
          <w:bCs/>
          <w:color w:val="000000"/>
          <w:kern w:val="0"/>
          <w:sz w:val="24"/>
          <w:szCs w:val="24"/>
        </w:rPr>
        <w:t>通过</w:t>
      </w:r>
      <w:r>
        <w:rPr>
          <w:rFonts w:ascii="微软雅黑" w:eastAsia="微软雅黑" w:hAnsi="微软雅黑"/>
          <w:bCs/>
          <w:color w:val="000000"/>
          <w:kern w:val="0"/>
          <w:sz w:val="24"/>
          <w:szCs w:val="24"/>
        </w:rPr>
        <w:t>各类资产的均衡配置实现</w:t>
      </w:r>
      <w:r>
        <w:rPr>
          <w:rFonts w:ascii="微软雅黑" w:eastAsia="微软雅黑" w:hAnsi="微软雅黑" w:hint="eastAsia"/>
          <w:bCs/>
          <w:color w:val="000000"/>
          <w:kern w:val="0"/>
          <w:sz w:val="24"/>
          <w:szCs w:val="24"/>
        </w:rPr>
        <w:t>投资目标</w:t>
      </w:r>
      <w:r>
        <w:rPr>
          <w:rFonts w:ascii="微软雅黑" w:eastAsia="微软雅黑" w:hAnsi="微软雅黑"/>
          <w:bCs/>
          <w:color w:val="000000"/>
          <w:kern w:val="0"/>
          <w:sz w:val="24"/>
          <w:szCs w:val="24"/>
        </w:rPr>
        <w:t>。</w:t>
      </w:r>
      <w:r>
        <w:rPr>
          <w:rFonts w:ascii="微软雅黑" w:eastAsia="微软雅黑" w:hAnsi="微软雅黑" w:hint="eastAsia"/>
          <w:bCs/>
          <w:color w:val="000000"/>
          <w:kern w:val="0"/>
          <w:sz w:val="24"/>
          <w:szCs w:val="24"/>
        </w:rPr>
        <w:t>下阶段我们将在</w:t>
      </w:r>
      <w:r>
        <w:rPr>
          <w:rFonts w:ascii="微软雅黑" w:eastAsia="微软雅黑" w:hAnsi="微软雅黑"/>
          <w:bCs/>
          <w:color w:val="000000"/>
          <w:kern w:val="0"/>
          <w:sz w:val="24"/>
          <w:szCs w:val="24"/>
        </w:rPr>
        <w:t>目前基础上进一步优化资产结构</w:t>
      </w:r>
      <w:r>
        <w:rPr>
          <w:rFonts w:ascii="微软雅黑" w:eastAsia="微软雅黑" w:hAnsi="微软雅黑" w:hint="eastAsia"/>
          <w:bCs/>
          <w:color w:val="000000"/>
          <w:kern w:val="0"/>
          <w:sz w:val="24"/>
          <w:szCs w:val="24"/>
        </w:rPr>
        <w:t>，</w:t>
      </w:r>
      <w:r w:rsidRPr="00B26562">
        <w:rPr>
          <w:rFonts w:ascii="微软雅黑" w:eastAsia="微软雅黑" w:hAnsi="微软雅黑" w:hint="eastAsia"/>
          <w:bCs/>
          <w:color w:val="000000"/>
          <w:kern w:val="0"/>
          <w:sz w:val="24"/>
          <w:szCs w:val="24"/>
        </w:rPr>
        <w:t>继续优选优质</w:t>
      </w:r>
      <w:r>
        <w:rPr>
          <w:rFonts w:ascii="微软雅黑" w:eastAsia="微软雅黑" w:hAnsi="微软雅黑" w:hint="eastAsia"/>
          <w:bCs/>
          <w:color w:val="000000"/>
          <w:kern w:val="0"/>
          <w:sz w:val="24"/>
          <w:szCs w:val="24"/>
        </w:rPr>
        <w:t>资产，把握2</w:t>
      </w:r>
      <w:r>
        <w:rPr>
          <w:rFonts w:ascii="微软雅黑" w:eastAsia="微软雅黑" w:hAnsi="微软雅黑"/>
          <w:bCs/>
          <w:color w:val="000000"/>
          <w:kern w:val="0"/>
          <w:sz w:val="24"/>
          <w:szCs w:val="24"/>
        </w:rPr>
        <w:t>018</w:t>
      </w:r>
      <w:r w:rsidRPr="00B26562">
        <w:rPr>
          <w:rFonts w:ascii="微软雅黑" w:eastAsia="微软雅黑" w:hAnsi="微软雅黑" w:hint="eastAsia"/>
          <w:bCs/>
          <w:color w:val="000000"/>
          <w:kern w:val="0"/>
          <w:sz w:val="24"/>
          <w:szCs w:val="24"/>
        </w:rPr>
        <w:t>年的投资</w:t>
      </w:r>
      <w:r>
        <w:rPr>
          <w:rFonts w:ascii="微软雅黑" w:eastAsia="微软雅黑" w:hAnsi="微软雅黑" w:hint="eastAsia"/>
          <w:bCs/>
          <w:color w:val="000000"/>
          <w:kern w:val="0"/>
          <w:sz w:val="24"/>
          <w:szCs w:val="24"/>
        </w:rPr>
        <w:t>交易</w:t>
      </w:r>
      <w:r w:rsidRPr="00B26562">
        <w:rPr>
          <w:rFonts w:ascii="微软雅黑" w:eastAsia="微软雅黑" w:hAnsi="微软雅黑" w:hint="eastAsia"/>
          <w:bCs/>
          <w:color w:val="000000"/>
          <w:kern w:val="0"/>
          <w:sz w:val="24"/>
          <w:szCs w:val="24"/>
        </w:rPr>
        <w:t>机会</w:t>
      </w:r>
      <w:r w:rsidR="003D08F6">
        <w:rPr>
          <w:rFonts w:ascii="微软雅黑" w:eastAsia="微软雅黑" w:hAnsi="微软雅黑" w:hint="eastAsia"/>
          <w:bCs/>
          <w:color w:val="000000"/>
          <w:kern w:val="0"/>
          <w:sz w:val="24"/>
          <w:szCs w:val="24"/>
        </w:rPr>
        <w:t>。</w:t>
      </w:r>
      <w:r w:rsidR="00CA1F8C">
        <w:rPr>
          <w:rFonts w:ascii="微软雅黑" w:eastAsia="微软雅黑" w:hAnsi="微软雅黑" w:hint="eastAsia"/>
          <w:bCs/>
          <w:color w:val="000000"/>
          <w:kern w:val="0"/>
          <w:sz w:val="24"/>
          <w:szCs w:val="24"/>
        </w:rPr>
        <w:t xml:space="preserve"> </w:t>
      </w:r>
    </w:p>
    <w:p w:rsidR="006B63D8" w:rsidRPr="004F0699" w:rsidRDefault="00AF7531" w:rsidP="00F55D3D">
      <w:pPr>
        <w:autoSpaceDE w:val="0"/>
        <w:autoSpaceDN w:val="0"/>
        <w:adjustRightInd w:val="0"/>
        <w:spacing w:line="360" w:lineRule="auto"/>
        <w:ind w:firstLineChars="200" w:firstLine="480"/>
        <w:jc w:val="left"/>
        <w:rPr>
          <w:rFonts w:ascii="微软雅黑" w:eastAsia="微软雅黑" w:hAnsi="微软雅黑"/>
          <w:bCs/>
          <w:color w:val="000000"/>
          <w:kern w:val="0"/>
          <w:sz w:val="24"/>
          <w:szCs w:val="24"/>
        </w:rPr>
      </w:pPr>
      <w:r w:rsidRPr="004F0699">
        <w:rPr>
          <w:rFonts w:ascii="微软雅黑" w:eastAsia="微软雅黑" w:hAnsi="微软雅黑" w:hint="eastAsia"/>
          <w:bCs/>
          <w:color w:val="000000"/>
          <w:kern w:val="0"/>
          <w:sz w:val="24"/>
          <w:szCs w:val="24"/>
        </w:rPr>
        <w:t>感谢您对于平安银行理财产品的支持与厚爱</w:t>
      </w:r>
      <w:r w:rsidR="00173314">
        <w:rPr>
          <w:rFonts w:ascii="微软雅黑" w:eastAsia="微软雅黑" w:hAnsi="微软雅黑" w:hint="eastAsia"/>
          <w:bCs/>
          <w:color w:val="000000"/>
          <w:kern w:val="0"/>
          <w:sz w:val="24"/>
          <w:szCs w:val="24"/>
        </w:rPr>
        <w:t>！</w:t>
      </w:r>
    </w:p>
    <w:p w:rsidR="006B63D8" w:rsidRDefault="006B63D8" w:rsidP="00F55D3D">
      <w:pPr>
        <w:autoSpaceDE w:val="0"/>
        <w:autoSpaceDN w:val="0"/>
        <w:adjustRightInd w:val="0"/>
        <w:spacing w:line="360" w:lineRule="auto"/>
        <w:jc w:val="right"/>
        <w:rPr>
          <w:rFonts w:ascii="微软雅黑" w:eastAsia="微软雅黑" w:hAnsi="微软雅黑"/>
          <w:bCs/>
          <w:color w:val="000000"/>
          <w:kern w:val="0"/>
          <w:sz w:val="24"/>
          <w:szCs w:val="24"/>
        </w:rPr>
      </w:pPr>
    </w:p>
    <w:p w:rsidR="006B63D8" w:rsidRDefault="006B63D8" w:rsidP="00F55D3D">
      <w:pPr>
        <w:autoSpaceDE w:val="0"/>
        <w:autoSpaceDN w:val="0"/>
        <w:adjustRightInd w:val="0"/>
        <w:spacing w:line="360" w:lineRule="auto"/>
        <w:jc w:val="right"/>
        <w:rPr>
          <w:rFonts w:ascii="微软雅黑" w:eastAsia="微软雅黑" w:hAnsi="微软雅黑"/>
          <w:bCs/>
          <w:color w:val="000000"/>
          <w:kern w:val="0"/>
          <w:sz w:val="24"/>
          <w:szCs w:val="24"/>
        </w:rPr>
      </w:pPr>
    </w:p>
    <w:p w:rsidR="00CD2923" w:rsidRDefault="00AF7531" w:rsidP="00F55D3D">
      <w:pPr>
        <w:autoSpaceDE w:val="0"/>
        <w:autoSpaceDN w:val="0"/>
        <w:adjustRightInd w:val="0"/>
        <w:spacing w:line="360" w:lineRule="auto"/>
        <w:jc w:val="right"/>
        <w:rPr>
          <w:rFonts w:ascii="微软雅黑" w:eastAsia="微软雅黑" w:hAnsi="微软雅黑"/>
          <w:bCs/>
          <w:color w:val="000000"/>
          <w:kern w:val="0"/>
          <w:sz w:val="24"/>
          <w:szCs w:val="24"/>
        </w:rPr>
      </w:pPr>
      <w:r w:rsidRPr="004F0699">
        <w:rPr>
          <w:rFonts w:ascii="微软雅黑" w:eastAsia="微软雅黑" w:hAnsi="微软雅黑" w:hint="eastAsia"/>
          <w:bCs/>
          <w:color w:val="000000"/>
          <w:kern w:val="0"/>
          <w:sz w:val="24"/>
          <w:szCs w:val="24"/>
        </w:rPr>
        <w:t>平安银行股份有限公司</w:t>
      </w:r>
    </w:p>
    <w:p w:rsidR="003D08F6" w:rsidRPr="004F0699" w:rsidRDefault="003D08F6" w:rsidP="00F55D3D">
      <w:pPr>
        <w:autoSpaceDE w:val="0"/>
        <w:autoSpaceDN w:val="0"/>
        <w:adjustRightInd w:val="0"/>
        <w:spacing w:line="360" w:lineRule="auto"/>
        <w:jc w:val="right"/>
        <w:rPr>
          <w:rFonts w:ascii="微软雅黑" w:eastAsia="微软雅黑" w:hAnsi="微软雅黑"/>
          <w:bCs/>
          <w:color w:val="000000"/>
          <w:kern w:val="0"/>
          <w:sz w:val="24"/>
          <w:szCs w:val="24"/>
        </w:rPr>
      </w:pPr>
      <w:r>
        <w:rPr>
          <w:rFonts w:ascii="微软雅黑" w:eastAsia="微软雅黑" w:hAnsi="微软雅黑"/>
          <w:bCs/>
          <w:color w:val="000000"/>
          <w:kern w:val="0"/>
          <w:sz w:val="24"/>
          <w:szCs w:val="24"/>
        </w:rPr>
        <w:t>2017</w:t>
      </w:r>
      <w:r>
        <w:rPr>
          <w:rFonts w:ascii="微软雅黑" w:eastAsia="微软雅黑" w:hAnsi="微软雅黑" w:hint="eastAsia"/>
          <w:bCs/>
          <w:color w:val="000000"/>
          <w:kern w:val="0"/>
          <w:sz w:val="24"/>
          <w:szCs w:val="24"/>
        </w:rPr>
        <w:t>年</w:t>
      </w:r>
      <w:r w:rsidR="00082172">
        <w:rPr>
          <w:rFonts w:ascii="微软雅黑" w:eastAsia="微软雅黑" w:hAnsi="微软雅黑"/>
          <w:bCs/>
          <w:color w:val="000000"/>
          <w:kern w:val="0"/>
          <w:sz w:val="24"/>
          <w:szCs w:val="24"/>
        </w:rPr>
        <w:t>12</w:t>
      </w:r>
      <w:r>
        <w:rPr>
          <w:rFonts w:ascii="微软雅黑" w:eastAsia="微软雅黑" w:hAnsi="微软雅黑" w:hint="eastAsia"/>
          <w:bCs/>
          <w:color w:val="000000"/>
          <w:kern w:val="0"/>
          <w:sz w:val="24"/>
          <w:szCs w:val="24"/>
        </w:rPr>
        <w:t>月</w:t>
      </w:r>
      <w:r w:rsidR="00082172">
        <w:rPr>
          <w:rFonts w:ascii="微软雅黑" w:eastAsia="微软雅黑" w:hAnsi="微软雅黑"/>
          <w:bCs/>
          <w:color w:val="000000"/>
          <w:kern w:val="0"/>
          <w:sz w:val="24"/>
          <w:szCs w:val="24"/>
        </w:rPr>
        <w:t>31</w:t>
      </w:r>
      <w:r>
        <w:rPr>
          <w:rFonts w:ascii="微软雅黑" w:eastAsia="微软雅黑" w:hAnsi="微软雅黑" w:hint="eastAsia"/>
          <w:bCs/>
          <w:color w:val="000000"/>
          <w:kern w:val="0"/>
          <w:sz w:val="24"/>
          <w:szCs w:val="24"/>
        </w:rPr>
        <w:t>日</w:t>
      </w:r>
    </w:p>
    <w:sectPr w:rsidR="003D08F6" w:rsidRPr="004F0699" w:rsidSect="00304A12">
      <w:footerReference w:type="default" r:id="rId15"/>
      <w:pgSz w:w="11906" w:h="16838" w:code="9"/>
      <w:pgMar w:top="1440" w:right="1797" w:bottom="1440" w:left="1797"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81D" w:rsidRDefault="00C4781D" w:rsidP="00876D65">
      <w:r>
        <w:separator/>
      </w:r>
    </w:p>
  </w:endnote>
  <w:endnote w:type="continuationSeparator" w:id="0">
    <w:p w:rsidR="00C4781D" w:rsidRDefault="00C4781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6B5" w:rsidRDefault="00EF56B5" w:rsidP="00EF56B5">
    <w:pPr>
      <w:pStyle w:val="a6"/>
      <w:framePr w:wrap="auto" w:vAnchor="text" w:hAnchor="margin" w:xAlign="center" w:y="1"/>
      <w:rPr>
        <w:rStyle w:val="a7"/>
      </w:rPr>
    </w:pPr>
    <w:r>
      <w:rPr>
        <w:rStyle w:val="a7"/>
        <w:rFonts w:hint="eastAsia"/>
      </w:rPr>
      <w:t>第</w:t>
    </w:r>
    <w:r w:rsidR="00F553BA">
      <w:rPr>
        <w:rStyle w:val="a7"/>
      </w:rPr>
      <w:fldChar w:fldCharType="begin"/>
    </w:r>
    <w:r>
      <w:rPr>
        <w:rStyle w:val="a7"/>
      </w:rPr>
      <w:instrText xml:space="preserve">PAGE  </w:instrText>
    </w:r>
    <w:r w:rsidR="00F553BA">
      <w:rPr>
        <w:rStyle w:val="a7"/>
      </w:rPr>
      <w:fldChar w:fldCharType="separate"/>
    </w:r>
    <w:r w:rsidR="00994A34">
      <w:rPr>
        <w:rStyle w:val="a7"/>
        <w:noProof/>
      </w:rPr>
      <w:t>1</w:t>
    </w:r>
    <w:r w:rsidR="00F553BA">
      <w:rPr>
        <w:rStyle w:val="a7"/>
      </w:rPr>
      <w:fldChar w:fldCharType="end"/>
    </w:r>
    <w:r>
      <w:rPr>
        <w:rStyle w:val="a7"/>
        <w:rFonts w:hint="eastAsia"/>
      </w:rPr>
      <w:t>页共</w:t>
    </w:r>
    <w:r w:rsidR="00C4781D">
      <w:fldChar w:fldCharType="begin"/>
    </w:r>
    <w:r w:rsidR="00C4781D">
      <w:instrText xml:space="preserve"> NUMPAGES  \* Arabic  \* MERGEFORMAT </w:instrText>
    </w:r>
    <w:r w:rsidR="00C4781D">
      <w:fldChar w:fldCharType="separate"/>
    </w:r>
    <w:r w:rsidR="00994A34" w:rsidRPr="00994A34">
      <w:rPr>
        <w:rStyle w:val="a7"/>
        <w:noProof/>
      </w:rPr>
      <w:t>9</w:t>
    </w:r>
    <w:r w:rsidR="00C4781D">
      <w:rPr>
        <w:rStyle w:val="a7"/>
        <w:noProof/>
      </w:rPr>
      <w:fldChar w:fldCharType="end"/>
    </w:r>
    <w:r>
      <w:rPr>
        <w:rStyle w:val="a7"/>
        <w:rFonts w:hint="eastAsia"/>
      </w:rPr>
      <w:t>页</w:t>
    </w:r>
  </w:p>
  <w:p w:rsidR="00750D48" w:rsidRPr="00EF56B5" w:rsidRDefault="00750D48"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D48" w:rsidRDefault="00EF56B5">
    <w:pPr>
      <w:pStyle w:val="a6"/>
      <w:framePr w:wrap="auto" w:vAnchor="text" w:hAnchor="margin" w:xAlign="center" w:y="1"/>
      <w:rPr>
        <w:rStyle w:val="a7"/>
      </w:rPr>
    </w:pPr>
    <w:r>
      <w:rPr>
        <w:rStyle w:val="a7"/>
        <w:rFonts w:hint="eastAsia"/>
      </w:rPr>
      <w:t>第</w:t>
    </w:r>
    <w:r w:rsidR="00F553BA">
      <w:rPr>
        <w:rStyle w:val="a7"/>
      </w:rPr>
      <w:fldChar w:fldCharType="begin"/>
    </w:r>
    <w:r>
      <w:rPr>
        <w:rStyle w:val="a7"/>
      </w:rPr>
      <w:instrText xml:space="preserve">PAGE  </w:instrText>
    </w:r>
    <w:r w:rsidR="00F553BA">
      <w:rPr>
        <w:rStyle w:val="a7"/>
      </w:rPr>
      <w:fldChar w:fldCharType="separate"/>
    </w:r>
    <w:r w:rsidR="00994A34">
      <w:rPr>
        <w:rStyle w:val="a7"/>
        <w:noProof/>
      </w:rPr>
      <w:t>5</w:t>
    </w:r>
    <w:r w:rsidR="00F553BA">
      <w:rPr>
        <w:rStyle w:val="a7"/>
      </w:rPr>
      <w:fldChar w:fldCharType="end"/>
    </w:r>
    <w:r>
      <w:rPr>
        <w:rStyle w:val="a7"/>
        <w:rFonts w:hint="eastAsia"/>
      </w:rPr>
      <w:t>页共</w:t>
    </w:r>
    <w:r w:rsidR="00C4781D">
      <w:fldChar w:fldCharType="begin"/>
    </w:r>
    <w:r w:rsidR="00C4781D">
      <w:instrText xml:space="preserve"> NUMPAGES  \* Arabic  \* MERGEFORMAT </w:instrText>
    </w:r>
    <w:r w:rsidR="00C4781D">
      <w:fldChar w:fldCharType="separate"/>
    </w:r>
    <w:r w:rsidR="00994A34" w:rsidRPr="00994A34">
      <w:rPr>
        <w:rStyle w:val="a7"/>
        <w:noProof/>
      </w:rPr>
      <w:t>9</w:t>
    </w:r>
    <w:r w:rsidR="00C4781D">
      <w:rPr>
        <w:rStyle w:val="a7"/>
        <w:noProof/>
      </w:rPr>
      <w:fldChar w:fldCharType="end"/>
    </w:r>
    <w:r>
      <w:rPr>
        <w:rStyle w:val="a7"/>
        <w:rFonts w:hint="eastAsia"/>
      </w:rPr>
      <w:t>页</w:t>
    </w:r>
  </w:p>
  <w:p w:rsidR="00750D48" w:rsidRDefault="00750D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81D" w:rsidRDefault="00C4781D" w:rsidP="00876D65">
      <w:r>
        <w:separator/>
      </w:r>
    </w:p>
  </w:footnote>
  <w:footnote w:type="continuationSeparator" w:id="0">
    <w:p w:rsidR="00C4781D" w:rsidRDefault="00C4781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D48" w:rsidRPr="00093704" w:rsidRDefault="00D71488" w:rsidP="004D62C0">
    <w:pPr>
      <w:pStyle w:val="a9"/>
      <w:pBdr>
        <w:bottom w:val="single" w:sz="6" w:space="0" w:color="auto"/>
      </w:pBdr>
      <w:jc w:val="right"/>
    </w:pPr>
    <w:r w:rsidRPr="00D71488">
      <w:rPr>
        <w:rFonts w:hint="eastAsia"/>
      </w:rPr>
      <w:t>平安财富</w:t>
    </w:r>
    <w:r w:rsidRPr="00D71488">
      <w:rPr>
        <w:rFonts w:hint="eastAsia"/>
      </w:rPr>
      <w:t>-</w:t>
    </w:r>
    <w:r w:rsidRPr="00D71488">
      <w:rPr>
        <w:rFonts w:hint="eastAsia"/>
      </w:rPr>
      <w:t>养老系列</w:t>
    </w:r>
    <w:r w:rsidRPr="00D71488">
      <w:rPr>
        <w:rFonts w:hint="eastAsia"/>
      </w:rPr>
      <w:t>B</w:t>
    </w:r>
    <w:r w:rsidRPr="00D71488">
      <w:rPr>
        <w:rFonts w:hint="eastAsia"/>
      </w:rPr>
      <w:t>款安康月盈（平衡配置型）人民币理财产品</w:t>
    </w:r>
    <w:r w:rsidR="004D62C0">
      <w:rPr>
        <w:rFonts w:hint="eastAsia"/>
      </w:rPr>
      <w:t>2017</w:t>
    </w:r>
    <w:r w:rsidR="004D62C0">
      <w:rPr>
        <w:rFonts w:hint="eastAsia"/>
      </w:rPr>
      <w:t>年</w:t>
    </w:r>
    <w:r w:rsidR="00605F2F">
      <w:rPr>
        <w:rFonts w:hint="eastAsia"/>
      </w:rPr>
      <w:t>半年度</w:t>
    </w:r>
    <w:r w:rsidR="004D62C0">
      <w:rPr>
        <w:rFonts w:hint="eastAsia"/>
      </w:rPr>
      <w:t>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nsid w:val="402D4E17"/>
    <w:multiLevelType w:val="hybridMultilevel"/>
    <w:tmpl w:val="144C11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1BC2"/>
    <w:rsid w:val="00014099"/>
    <w:rsid w:val="000160C5"/>
    <w:rsid w:val="000210E7"/>
    <w:rsid w:val="000259CD"/>
    <w:rsid w:val="00031EBB"/>
    <w:rsid w:val="00033863"/>
    <w:rsid w:val="00033B8D"/>
    <w:rsid w:val="00043852"/>
    <w:rsid w:val="000450DD"/>
    <w:rsid w:val="000463DE"/>
    <w:rsid w:val="00046D10"/>
    <w:rsid w:val="000553BD"/>
    <w:rsid w:val="00082172"/>
    <w:rsid w:val="0008313A"/>
    <w:rsid w:val="000907D2"/>
    <w:rsid w:val="00090A26"/>
    <w:rsid w:val="00093704"/>
    <w:rsid w:val="00095F2A"/>
    <w:rsid w:val="000A18A8"/>
    <w:rsid w:val="000A2B53"/>
    <w:rsid w:val="000B624F"/>
    <w:rsid w:val="000B73C6"/>
    <w:rsid w:val="000C190B"/>
    <w:rsid w:val="000C1E17"/>
    <w:rsid w:val="000C3852"/>
    <w:rsid w:val="000C493C"/>
    <w:rsid w:val="000C5216"/>
    <w:rsid w:val="000D0E6C"/>
    <w:rsid w:val="000D38E4"/>
    <w:rsid w:val="000D3ED4"/>
    <w:rsid w:val="000E0577"/>
    <w:rsid w:val="000F0814"/>
    <w:rsid w:val="000F2DE1"/>
    <w:rsid w:val="000F6CC8"/>
    <w:rsid w:val="00111261"/>
    <w:rsid w:val="00137452"/>
    <w:rsid w:val="00137983"/>
    <w:rsid w:val="00142CAF"/>
    <w:rsid w:val="00144F93"/>
    <w:rsid w:val="00147376"/>
    <w:rsid w:val="00150E7E"/>
    <w:rsid w:val="00154BE1"/>
    <w:rsid w:val="00154C17"/>
    <w:rsid w:val="00160EDC"/>
    <w:rsid w:val="0016180A"/>
    <w:rsid w:val="001675CD"/>
    <w:rsid w:val="00171EF0"/>
    <w:rsid w:val="00173314"/>
    <w:rsid w:val="001761D2"/>
    <w:rsid w:val="001830D7"/>
    <w:rsid w:val="00185A34"/>
    <w:rsid w:val="001878B0"/>
    <w:rsid w:val="0019049E"/>
    <w:rsid w:val="00191BDE"/>
    <w:rsid w:val="00196E6C"/>
    <w:rsid w:val="001A73E8"/>
    <w:rsid w:val="001B0A62"/>
    <w:rsid w:val="001B2F35"/>
    <w:rsid w:val="001B3C1C"/>
    <w:rsid w:val="001B6E7E"/>
    <w:rsid w:val="001C0993"/>
    <w:rsid w:val="001C79F2"/>
    <w:rsid w:val="001C7E00"/>
    <w:rsid w:val="001D0DB0"/>
    <w:rsid w:val="001D63BB"/>
    <w:rsid w:val="001D6A4B"/>
    <w:rsid w:val="001D74DB"/>
    <w:rsid w:val="001E4630"/>
    <w:rsid w:val="001F0964"/>
    <w:rsid w:val="001F0EB2"/>
    <w:rsid w:val="001F30DA"/>
    <w:rsid w:val="001F5DC5"/>
    <w:rsid w:val="00200FAB"/>
    <w:rsid w:val="0020482C"/>
    <w:rsid w:val="00213821"/>
    <w:rsid w:val="00217B92"/>
    <w:rsid w:val="002279D3"/>
    <w:rsid w:val="00232B03"/>
    <w:rsid w:val="00240248"/>
    <w:rsid w:val="0024363B"/>
    <w:rsid w:val="00261111"/>
    <w:rsid w:val="0026438E"/>
    <w:rsid w:val="00264E55"/>
    <w:rsid w:val="002661ED"/>
    <w:rsid w:val="0027502D"/>
    <w:rsid w:val="00275745"/>
    <w:rsid w:val="0027688F"/>
    <w:rsid w:val="00276E44"/>
    <w:rsid w:val="00280C9F"/>
    <w:rsid w:val="00284CA6"/>
    <w:rsid w:val="00286BEF"/>
    <w:rsid w:val="00286FA2"/>
    <w:rsid w:val="002918E3"/>
    <w:rsid w:val="002973A9"/>
    <w:rsid w:val="002A3BF1"/>
    <w:rsid w:val="002B1D1A"/>
    <w:rsid w:val="002C28F2"/>
    <w:rsid w:val="002C5960"/>
    <w:rsid w:val="002D6FB6"/>
    <w:rsid w:val="002E3B09"/>
    <w:rsid w:val="002E52B3"/>
    <w:rsid w:val="00303679"/>
    <w:rsid w:val="00304A12"/>
    <w:rsid w:val="00305636"/>
    <w:rsid w:val="00311662"/>
    <w:rsid w:val="00312A9F"/>
    <w:rsid w:val="00315D5D"/>
    <w:rsid w:val="00316484"/>
    <w:rsid w:val="00316E01"/>
    <w:rsid w:val="00320300"/>
    <w:rsid w:val="00324508"/>
    <w:rsid w:val="003259C8"/>
    <w:rsid w:val="0032741D"/>
    <w:rsid w:val="003307FE"/>
    <w:rsid w:val="00342369"/>
    <w:rsid w:val="003470E2"/>
    <w:rsid w:val="00352719"/>
    <w:rsid w:val="00355364"/>
    <w:rsid w:val="00364CCB"/>
    <w:rsid w:val="0039085F"/>
    <w:rsid w:val="00394069"/>
    <w:rsid w:val="003A5423"/>
    <w:rsid w:val="003A6061"/>
    <w:rsid w:val="003B3CAA"/>
    <w:rsid w:val="003B6FBC"/>
    <w:rsid w:val="003D08F6"/>
    <w:rsid w:val="003D1B9A"/>
    <w:rsid w:val="003D2EAD"/>
    <w:rsid w:val="003D38C4"/>
    <w:rsid w:val="003E62FB"/>
    <w:rsid w:val="003F39DF"/>
    <w:rsid w:val="003F3AD9"/>
    <w:rsid w:val="003F63BE"/>
    <w:rsid w:val="00403A06"/>
    <w:rsid w:val="004061AC"/>
    <w:rsid w:val="004077D2"/>
    <w:rsid w:val="004149AC"/>
    <w:rsid w:val="00415AEF"/>
    <w:rsid w:val="00416F87"/>
    <w:rsid w:val="0042009D"/>
    <w:rsid w:val="00427DD4"/>
    <w:rsid w:val="00427F58"/>
    <w:rsid w:val="00433805"/>
    <w:rsid w:val="00466850"/>
    <w:rsid w:val="00467048"/>
    <w:rsid w:val="00471408"/>
    <w:rsid w:val="00475350"/>
    <w:rsid w:val="00484B13"/>
    <w:rsid w:val="004858E0"/>
    <w:rsid w:val="00490644"/>
    <w:rsid w:val="00490CB5"/>
    <w:rsid w:val="004934E9"/>
    <w:rsid w:val="004943C2"/>
    <w:rsid w:val="004A11A7"/>
    <w:rsid w:val="004A4D5B"/>
    <w:rsid w:val="004B5343"/>
    <w:rsid w:val="004C702F"/>
    <w:rsid w:val="004D28A3"/>
    <w:rsid w:val="004D495A"/>
    <w:rsid w:val="004D62C0"/>
    <w:rsid w:val="004D75CD"/>
    <w:rsid w:val="004E5975"/>
    <w:rsid w:val="004E790A"/>
    <w:rsid w:val="004F04C1"/>
    <w:rsid w:val="004F0699"/>
    <w:rsid w:val="004F50FD"/>
    <w:rsid w:val="00500A03"/>
    <w:rsid w:val="00501495"/>
    <w:rsid w:val="00507F99"/>
    <w:rsid w:val="00512200"/>
    <w:rsid w:val="005143CD"/>
    <w:rsid w:val="005144F2"/>
    <w:rsid w:val="005149CB"/>
    <w:rsid w:val="005242A5"/>
    <w:rsid w:val="005249DD"/>
    <w:rsid w:val="00531BA5"/>
    <w:rsid w:val="00531F10"/>
    <w:rsid w:val="00532E86"/>
    <w:rsid w:val="00540B13"/>
    <w:rsid w:val="00542434"/>
    <w:rsid w:val="00542470"/>
    <w:rsid w:val="00542546"/>
    <w:rsid w:val="005454FB"/>
    <w:rsid w:val="0055248E"/>
    <w:rsid w:val="0055767A"/>
    <w:rsid w:val="005602F3"/>
    <w:rsid w:val="005659E4"/>
    <w:rsid w:val="00571097"/>
    <w:rsid w:val="005761EE"/>
    <w:rsid w:val="00582D99"/>
    <w:rsid w:val="0058551C"/>
    <w:rsid w:val="00590656"/>
    <w:rsid w:val="0059076B"/>
    <w:rsid w:val="00597E49"/>
    <w:rsid w:val="005A0F1F"/>
    <w:rsid w:val="005A2B83"/>
    <w:rsid w:val="005A478E"/>
    <w:rsid w:val="005A6675"/>
    <w:rsid w:val="005B2E9C"/>
    <w:rsid w:val="005B4F93"/>
    <w:rsid w:val="005B73D2"/>
    <w:rsid w:val="005C0848"/>
    <w:rsid w:val="005C5E5B"/>
    <w:rsid w:val="005D2B36"/>
    <w:rsid w:val="005E1093"/>
    <w:rsid w:val="005E475E"/>
    <w:rsid w:val="005F3996"/>
    <w:rsid w:val="005F6AF6"/>
    <w:rsid w:val="005F7730"/>
    <w:rsid w:val="005F7917"/>
    <w:rsid w:val="005F7E00"/>
    <w:rsid w:val="00604C26"/>
    <w:rsid w:val="00605F2F"/>
    <w:rsid w:val="006066D2"/>
    <w:rsid w:val="00606B40"/>
    <w:rsid w:val="0061286A"/>
    <w:rsid w:val="00613D7A"/>
    <w:rsid w:val="00614CC4"/>
    <w:rsid w:val="00616CBE"/>
    <w:rsid w:val="0062025E"/>
    <w:rsid w:val="00626998"/>
    <w:rsid w:val="006269FB"/>
    <w:rsid w:val="00631ED8"/>
    <w:rsid w:val="00634EDE"/>
    <w:rsid w:val="00636DB7"/>
    <w:rsid w:val="0063783A"/>
    <w:rsid w:val="006423B9"/>
    <w:rsid w:val="006506DF"/>
    <w:rsid w:val="00654B0D"/>
    <w:rsid w:val="00655CD8"/>
    <w:rsid w:val="006562D5"/>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B63D8"/>
    <w:rsid w:val="006C12B8"/>
    <w:rsid w:val="006C37FC"/>
    <w:rsid w:val="006C56AA"/>
    <w:rsid w:val="006C7EA3"/>
    <w:rsid w:val="006D39E9"/>
    <w:rsid w:val="006D3BE3"/>
    <w:rsid w:val="006D7004"/>
    <w:rsid w:val="006D789D"/>
    <w:rsid w:val="006D7FF8"/>
    <w:rsid w:val="006E042A"/>
    <w:rsid w:val="006E322B"/>
    <w:rsid w:val="006F5E68"/>
    <w:rsid w:val="00706D60"/>
    <w:rsid w:val="007075E3"/>
    <w:rsid w:val="00707F66"/>
    <w:rsid w:val="007168BF"/>
    <w:rsid w:val="00720D28"/>
    <w:rsid w:val="00722509"/>
    <w:rsid w:val="00727FCD"/>
    <w:rsid w:val="00733DDD"/>
    <w:rsid w:val="0074694E"/>
    <w:rsid w:val="00750CDF"/>
    <w:rsid w:val="00750D48"/>
    <w:rsid w:val="00752BA5"/>
    <w:rsid w:val="00755D86"/>
    <w:rsid w:val="00767C98"/>
    <w:rsid w:val="00770971"/>
    <w:rsid w:val="00780186"/>
    <w:rsid w:val="0078089C"/>
    <w:rsid w:val="00780D12"/>
    <w:rsid w:val="00787D16"/>
    <w:rsid w:val="00796CA8"/>
    <w:rsid w:val="00797305"/>
    <w:rsid w:val="007B035B"/>
    <w:rsid w:val="007B4C04"/>
    <w:rsid w:val="007B5AFB"/>
    <w:rsid w:val="007C54B1"/>
    <w:rsid w:val="007C5862"/>
    <w:rsid w:val="007D0526"/>
    <w:rsid w:val="007E47AC"/>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1B20"/>
    <w:rsid w:val="00853140"/>
    <w:rsid w:val="00854537"/>
    <w:rsid w:val="008606B6"/>
    <w:rsid w:val="008635E6"/>
    <w:rsid w:val="00866CF2"/>
    <w:rsid w:val="008700EC"/>
    <w:rsid w:val="00876D65"/>
    <w:rsid w:val="00891261"/>
    <w:rsid w:val="00895A8A"/>
    <w:rsid w:val="008A21B2"/>
    <w:rsid w:val="008B2FDD"/>
    <w:rsid w:val="008C2A4F"/>
    <w:rsid w:val="008C75E7"/>
    <w:rsid w:val="008C7CA8"/>
    <w:rsid w:val="008D09EC"/>
    <w:rsid w:val="008D34D8"/>
    <w:rsid w:val="008D799F"/>
    <w:rsid w:val="008E07EB"/>
    <w:rsid w:val="008E2DCB"/>
    <w:rsid w:val="008E326D"/>
    <w:rsid w:val="008F5A8D"/>
    <w:rsid w:val="008F5F67"/>
    <w:rsid w:val="008F60F2"/>
    <w:rsid w:val="0090217D"/>
    <w:rsid w:val="0090488E"/>
    <w:rsid w:val="00905C5E"/>
    <w:rsid w:val="009078DC"/>
    <w:rsid w:val="00913186"/>
    <w:rsid w:val="00921AC7"/>
    <w:rsid w:val="00922880"/>
    <w:rsid w:val="00924582"/>
    <w:rsid w:val="00924594"/>
    <w:rsid w:val="00931291"/>
    <w:rsid w:val="0093367D"/>
    <w:rsid w:val="00937A00"/>
    <w:rsid w:val="00940BE1"/>
    <w:rsid w:val="009431FA"/>
    <w:rsid w:val="00945AF6"/>
    <w:rsid w:val="00951C43"/>
    <w:rsid w:val="0095204B"/>
    <w:rsid w:val="00954A4B"/>
    <w:rsid w:val="009550BE"/>
    <w:rsid w:val="00955531"/>
    <w:rsid w:val="00955BE8"/>
    <w:rsid w:val="00957594"/>
    <w:rsid w:val="00963F40"/>
    <w:rsid w:val="00973260"/>
    <w:rsid w:val="00974AD0"/>
    <w:rsid w:val="0098122D"/>
    <w:rsid w:val="00986596"/>
    <w:rsid w:val="00990685"/>
    <w:rsid w:val="00991411"/>
    <w:rsid w:val="00994A34"/>
    <w:rsid w:val="009A0ABE"/>
    <w:rsid w:val="009B2D4B"/>
    <w:rsid w:val="009B3243"/>
    <w:rsid w:val="009C4E99"/>
    <w:rsid w:val="009C5186"/>
    <w:rsid w:val="009C60F7"/>
    <w:rsid w:val="009D0952"/>
    <w:rsid w:val="009D54EA"/>
    <w:rsid w:val="009E31DA"/>
    <w:rsid w:val="009E402C"/>
    <w:rsid w:val="009E7C6A"/>
    <w:rsid w:val="009F5B72"/>
    <w:rsid w:val="009F7ED4"/>
    <w:rsid w:val="00A03AAC"/>
    <w:rsid w:val="00A047D1"/>
    <w:rsid w:val="00A22AD0"/>
    <w:rsid w:val="00A22DA8"/>
    <w:rsid w:val="00A31671"/>
    <w:rsid w:val="00A42A17"/>
    <w:rsid w:val="00A45320"/>
    <w:rsid w:val="00A5612C"/>
    <w:rsid w:val="00A5689C"/>
    <w:rsid w:val="00A57AE4"/>
    <w:rsid w:val="00A63F19"/>
    <w:rsid w:val="00A66F42"/>
    <w:rsid w:val="00A76625"/>
    <w:rsid w:val="00A82CBA"/>
    <w:rsid w:val="00A83500"/>
    <w:rsid w:val="00A90049"/>
    <w:rsid w:val="00A917BF"/>
    <w:rsid w:val="00A96A94"/>
    <w:rsid w:val="00AA3A38"/>
    <w:rsid w:val="00AA4F94"/>
    <w:rsid w:val="00AB047E"/>
    <w:rsid w:val="00AC11B0"/>
    <w:rsid w:val="00AC592E"/>
    <w:rsid w:val="00AC6C10"/>
    <w:rsid w:val="00AC7BC6"/>
    <w:rsid w:val="00AD24AA"/>
    <w:rsid w:val="00AE7962"/>
    <w:rsid w:val="00AF5BA0"/>
    <w:rsid w:val="00AF7531"/>
    <w:rsid w:val="00B014D7"/>
    <w:rsid w:val="00B05049"/>
    <w:rsid w:val="00B12B7D"/>
    <w:rsid w:val="00B16985"/>
    <w:rsid w:val="00B221B8"/>
    <w:rsid w:val="00B227EA"/>
    <w:rsid w:val="00B27206"/>
    <w:rsid w:val="00B32AA7"/>
    <w:rsid w:val="00B37A8C"/>
    <w:rsid w:val="00B4012D"/>
    <w:rsid w:val="00B40F64"/>
    <w:rsid w:val="00B42A76"/>
    <w:rsid w:val="00B455EE"/>
    <w:rsid w:val="00B5279D"/>
    <w:rsid w:val="00B53067"/>
    <w:rsid w:val="00B7378D"/>
    <w:rsid w:val="00B82413"/>
    <w:rsid w:val="00B85352"/>
    <w:rsid w:val="00B87214"/>
    <w:rsid w:val="00B87463"/>
    <w:rsid w:val="00B92FF5"/>
    <w:rsid w:val="00B959E6"/>
    <w:rsid w:val="00BA0A36"/>
    <w:rsid w:val="00BA0A6A"/>
    <w:rsid w:val="00BA2D16"/>
    <w:rsid w:val="00BA40BB"/>
    <w:rsid w:val="00BA4338"/>
    <w:rsid w:val="00BA604D"/>
    <w:rsid w:val="00BC4585"/>
    <w:rsid w:val="00BC50F1"/>
    <w:rsid w:val="00BC73E5"/>
    <w:rsid w:val="00BD7473"/>
    <w:rsid w:val="00BD7703"/>
    <w:rsid w:val="00BE12B4"/>
    <w:rsid w:val="00BE3D2D"/>
    <w:rsid w:val="00BE420D"/>
    <w:rsid w:val="00C21520"/>
    <w:rsid w:val="00C222B2"/>
    <w:rsid w:val="00C225FB"/>
    <w:rsid w:val="00C347E2"/>
    <w:rsid w:val="00C41870"/>
    <w:rsid w:val="00C46B88"/>
    <w:rsid w:val="00C4781D"/>
    <w:rsid w:val="00C5218C"/>
    <w:rsid w:val="00C52191"/>
    <w:rsid w:val="00C5642F"/>
    <w:rsid w:val="00C63554"/>
    <w:rsid w:val="00C71497"/>
    <w:rsid w:val="00C72F5B"/>
    <w:rsid w:val="00C73BCD"/>
    <w:rsid w:val="00C77AEF"/>
    <w:rsid w:val="00C77E37"/>
    <w:rsid w:val="00C87129"/>
    <w:rsid w:val="00C91E1B"/>
    <w:rsid w:val="00C94006"/>
    <w:rsid w:val="00CA1F8C"/>
    <w:rsid w:val="00CA2BD3"/>
    <w:rsid w:val="00CA4677"/>
    <w:rsid w:val="00CA5FD5"/>
    <w:rsid w:val="00CA7703"/>
    <w:rsid w:val="00CB0F92"/>
    <w:rsid w:val="00CB1A6E"/>
    <w:rsid w:val="00CB461E"/>
    <w:rsid w:val="00CD2923"/>
    <w:rsid w:val="00CD4E6D"/>
    <w:rsid w:val="00CD5707"/>
    <w:rsid w:val="00CD7702"/>
    <w:rsid w:val="00CD7FC9"/>
    <w:rsid w:val="00CE075A"/>
    <w:rsid w:val="00CE29EA"/>
    <w:rsid w:val="00CF6572"/>
    <w:rsid w:val="00CF7885"/>
    <w:rsid w:val="00D02347"/>
    <w:rsid w:val="00D04755"/>
    <w:rsid w:val="00D13737"/>
    <w:rsid w:val="00D1638E"/>
    <w:rsid w:val="00D21D10"/>
    <w:rsid w:val="00D21FFF"/>
    <w:rsid w:val="00D272A5"/>
    <w:rsid w:val="00D43AFB"/>
    <w:rsid w:val="00D564C7"/>
    <w:rsid w:val="00D57B7C"/>
    <w:rsid w:val="00D62BEE"/>
    <w:rsid w:val="00D65B44"/>
    <w:rsid w:val="00D71488"/>
    <w:rsid w:val="00D8099B"/>
    <w:rsid w:val="00D844EA"/>
    <w:rsid w:val="00D866A8"/>
    <w:rsid w:val="00D87469"/>
    <w:rsid w:val="00D92F47"/>
    <w:rsid w:val="00D94B8D"/>
    <w:rsid w:val="00D96C8D"/>
    <w:rsid w:val="00DA0CD1"/>
    <w:rsid w:val="00DA2876"/>
    <w:rsid w:val="00DA718D"/>
    <w:rsid w:val="00DB0A8D"/>
    <w:rsid w:val="00DB348F"/>
    <w:rsid w:val="00DC0B51"/>
    <w:rsid w:val="00DE27F7"/>
    <w:rsid w:val="00DF78BA"/>
    <w:rsid w:val="00E06069"/>
    <w:rsid w:val="00E0758A"/>
    <w:rsid w:val="00E115C0"/>
    <w:rsid w:val="00E37FAC"/>
    <w:rsid w:val="00E44E18"/>
    <w:rsid w:val="00E54301"/>
    <w:rsid w:val="00E5483F"/>
    <w:rsid w:val="00E55ABD"/>
    <w:rsid w:val="00E600DD"/>
    <w:rsid w:val="00E60817"/>
    <w:rsid w:val="00E645C0"/>
    <w:rsid w:val="00E73F58"/>
    <w:rsid w:val="00E90C35"/>
    <w:rsid w:val="00EA70F1"/>
    <w:rsid w:val="00EB2516"/>
    <w:rsid w:val="00EB2C07"/>
    <w:rsid w:val="00EB374A"/>
    <w:rsid w:val="00EB3CE7"/>
    <w:rsid w:val="00EB572F"/>
    <w:rsid w:val="00ED62BE"/>
    <w:rsid w:val="00EE43BE"/>
    <w:rsid w:val="00EE482B"/>
    <w:rsid w:val="00EF0529"/>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553BA"/>
    <w:rsid w:val="00F55D3D"/>
    <w:rsid w:val="00F66A51"/>
    <w:rsid w:val="00F71057"/>
    <w:rsid w:val="00F71A4B"/>
    <w:rsid w:val="00F728CF"/>
    <w:rsid w:val="00F743D4"/>
    <w:rsid w:val="00F837EA"/>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26CEF80-4FAE-4CD0-8840-B33AED0D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 w:type="table" w:customStyle="1" w:styleId="11">
    <w:name w:val="无格式表格 11"/>
    <w:basedOn w:val="a2"/>
    <w:uiPriority w:val="41"/>
    <w:rsid w:val="004F06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3928">
      <w:bodyDiv w:val="1"/>
      <w:marLeft w:val="0"/>
      <w:marRight w:val="0"/>
      <w:marTop w:val="0"/>
      <w:marBottom w:val="0"/>
      <w:divBdr>
        <w:top w:val="none" w:sz="0" w:space="0" w:color="auto"/>
        <w:left w:val="none" w:sz="0" w:space="0" w:color="auto"/>
        <w:bottom w:val="none" w:sz="0" w:space="0" w:color="auto"/>
        <w:right w:val="none" w:sz="0" w:space="0" w:color="auto"/>
      </w:divBdr>
    </w:div>
    <w:div w:id="133327984">
      <w:bodyDiv w:val="1"/>
      <w:marLeft w:val="0"/>
      <w:marRight w:val="0"/>
      <w:marTop w:val="0"/>
      <w:marBottom w:val="0"/>
      <w:divBdr>
        <w:top w:val="none" w:sz="0" w:space="0" w:color="auto"/>
        <w:left w:val="none" w:sz="0" w:space="0" w:color="auto"/>
        <w:bottom w:val="none" w:sz="0" w:space="0" w:color="auto"/>
        <w:right w:val="none" w:sz="0" w:space="0" w:color="auto"/>
      </w:divBdr>
    </w:div>
    <w:div w:id="335763630">
      <w:bodyDiv w:val="1"/>
      <w:marLeft w:val="0"/>
      <w:marRight w:val="0"/>
      <w:marTop w:val="0"/>
      <w:marBottom w:val="0"/>
      <w:divBdr>
        <w:top w:val="none" w:sz="0" w:space="0" w:color="auto"/>
        <w:left w:val="none" w:sz="0" w:space="0" w:color="auto"/>
        <w:bottom w:val="none" w:sz="0" w:space="0" w:color="auto"/>
        <w:right w:val="none" w:sz="0" w:space="0" w:color="auto"/>
      </w:divBdr>
    </w:div>
    <w:div w:id="433936332">
      <w:bodyDiv w:val="1"/>
      <w:marLeft w:val="0"/>
      <w:marRight w:val="0"/>
      <w:marTop w:val="0"/>
      <w:marBottom w:val="0"/>
      <w:divBdr>
        <w:top w:val="none" w:sz="0" w:space="0" w:color="auto"/>
        <w:left w:val="none" w:sz="0" w:space="0" w:color="auto"/>
        <w:bottom w:val="none" w:sz="0" w:space="0" w:color="auto"/>
        <w:right w:val="none" w:sz="0" w:space="0" w:color="auto"/>
      </w:divBdr>
    </w:div>
    <w:div w:id="688338849">
      <w:bodyDiv w:val="1"/>
      <w:marLeft w:val="0"/>
      <w:marRight w:val="0"/>
      <w:marTop w:val="0"/>
      <w:marBottom w:val="0"/>
      <w:divBdr>
        <w:top w:val="none" w:sz="0" w:space="0" w:color="auto"/>
        <w:left w:val="none" w:sz="0" w:space="0" w:color="auto"/>
        <w:bottom w:val="none" w:sz="0" w:space="0" w:color="auto"/>
        <w:right w:val="none" w:sz="0" w:space="0" w:color="auto"/>
      </w:divBdr>
    </w:div>
    <w:div w:id="692847401">
      <w:bodyDiv w:val="1"/>
      <w:marLeft w:val="0"/>
      <w:marRight w:val="0"/>
      <w:marTop w:val="0"/>
      <w:marBottom w:val="0"/>
      <w:divBdr>
        <w:top w:val="none" w:sz="0" w:space="0" w:color="auto"/>
        <w:left w:val="none" w:sz="0" w:space="0" w:color="auto"/>
        <w:bottom w:val="none" w:sz="0" w:space="0" w:color="auto"/>
        <w:right w:val="none" w:sz="0" w:space="0" w:color="auto"/>
      </w:divBdr>
    </w:div>
    <w:div w:id="775443026">
      <w:bodyDiv w:val="1"/>
      <w:marLeft w:val="0"/>
      <w:marRight w:val="0"/>
      <w:marTop w:val="0"/>
      <w:marBottom w:val="0"/>
      <w:divBdr>
        <w:top w:val="none" w:sz="0" w:space="0" w:color="auto"/>
        <w:left w:val="none" w:sz="0" w:space="0" w:color="auto"/>
        <w:bottom w:val="none" w:sz="0" w:space="0" w:color="auto"/>
        <w:right w:val="none" w:sz="0" w:space="0" w:color="auto"/>
      </w:divBdr>
    </w:div>
    <w:div w:id="853373643">
      <w:bodyDiv w:val="1"/>
      <w:marLeft w:val="0"/>
      <w:marRight w:val="0"/>
      <w:marTop w:val="0"/>
      <w:marBottom w:val="0"/>
      <w:divBdr>
        <w:top w:val="none" w:sz="0" w:space="0" w:color="auto"/>
        <w:left w:val="none" w:sz="0" w:space="0" w:color="auto"/>
        <w:bottom w:val="none" w:sz="0" w:space="0" w:color="auto"/>
        <w:right w:val="none" w:sz="0" w:space="0" w:color="auto"/>
      </w:divBdr>
    </w:div>
    <w:div w:id="904221733">
      <w:bodyDiv w:val="1"/>
      <w:marLeft w:val="0"/>
      <w:marRight w:val="0"/>
      <w:marTop w:val="0"/>
      <w:marBottom w:val="0"/>
      <w:divBdr>
        <w:top w:val="none" w:sz="0" w:space="0" w:color="auto"/>
        <w:left w:val="none" w:sz="0" w:space="0" w:color="auto"/>
        <w:bottom w:val="none" w:sz="0" w:space="0" w:color="auto"/>
        <w:right w:val="none" w:sz="0" w:space="0" w:color="auto"/>
      </w:divBdr>
    </w:div>
    <w:div w:id="1012682303">
      <w:bodyDiv w:val="1"/>
      <w:marLeft w:val="0"/>
      <w:marRight w:val="0"/>
      <w:marTop w:val="0"/>
      <w:marBottom w:val="0"/>
      <w:divBdr>
        <w:top w:val="none" w:sz="0" w:space="0" w:color="auto"/>
        <w:left w:val="none" w:sz="0" w:space="0" w:color="auto"/>
        <w:bottom w:val="none" w:sz="0" w:space="0" w:color="auto"/>
        <w:right w:val="none" w:sz="0" w:space="0" w:color="auto"/>
      </w:divBdr>
    </w:div>
    <w:div w:id="1025715580">
      <w:bodyDiv w:val="1"/>
      <w:marLeft w:val="0"/>
      <w:marRight w:val="0"/>
      <w:marTop w:val="0"/>
      <w:marBottom w:val="0"/>
      <w:divBdr>
        <w:top w:val="none" w:sz="0" w:space="0" w:color="auto"/>
        <w:left w:val="none" w:sz="0" w:space="0" w:color="auto"/>
        <w:bottom w:val="none" w:sz="0" w:space="0" w:color="auto"/>
        <w:right w:val="none" w:sz="0" w:space="0" w:color="auto"/>
      </w:divBdr>
      <w:divsChild>
        <w:div w:id="1331642101">
          <w:marLeft w:val="274"/>
          <w:marRight w:val="0"/>
          <w:marTop w:val="0"/>
          <w:marBottom w:val="0"/>
          <w:divBdr>
            <w:top w:val="none" w:sz="0" w:space="0" w:color="auto"/>
            <w:left w:val="none" w:sz="0" w:space="0" w:color="auto"/>
            <w:bottom w:val="none" w:sz="0" w:space="0" w:color="auto"/>
            <w:right w:val="none" w:sz="0" w:space="0" w:color="auto"/>
          </w:divBdr>
        </w:div>
        <w:div w:id="1494296557">
          <w:marLeft w:val="274"/>
          <w:marRight w:val="0"/>
          <w:marTop w:val="0"/>
          <w:marBottom w:val="0"/>
          <w:divBdr>
            <w:top w:val="none" w:sz="0" w:space="0" w:color="auto"/>
            <w:left w:val="none" w:sz="0" w:space="0" w:color="auto"/>
            <w:bottom w:val="none" w:sz="0" w:space="0" w:color="auto"/>
            <w:right w:val="none" w:sz="0" w:space="0" w:color="auto"/>
          </w:divBdr>
        </w:div>
      </w:divsChild>
    </w:div>
    <w:div w:id="1107506197">
      <w:bodyDiv w:val="1"/>
      <w:marLeft w:val="0"/>
      <w:marRight w:val="0"/>
      <w:marTop w:val="0"/>
      <w:marBottom w:val="0"/>
      <w:divBdr>
        <w:top w:val="none" w:sz="0" w:space="0" w:color="auto"/>
        <w:left w:val="none" w:sz="0" w:space="0" w:color="auto"/>
        <w:bottom w:val="none" w:sz="0" w:space="0" w:color="auto"/>
        <w:right w:val="none" w:sz="0" w:space="0" w:color="auto"/>
      </w:divBdr>
    </w:div>
    <w:div w:id="1116412386">
      <w:bodyDiv w:val="1"/>
      <w:marLeft w:val="0"/>
      <w:marRight w:val="0"/>
      <w:marTop w:val="0"/>
      <w:marBottom w:val="0"/>
      <w:divBdr>
        <w:top w:val="none" w:sz="0" w:space="0" w:color="auto"/>
        <w:left w:val="none" w:sz="0" w:space="0" w:color="auto"/>
        <w:bottom w:val="none" w:sz="0" w:space="0" w:color="auto"/>
        <w:right w:val="none" w:sz="0" w:space="0" w:color="auto"/>
      </w:divBdr>
    </w:div>
    <w:div w:id="1220166617">
      <w:bodyDiv w:val="1"/>
      <w:marLeft w:val="0"/>
      <w:marRight w:val="0"/>
      <w:marTop w:val="0"/>
      <w:marBottom w:val="0"/>
      <w:divBdr>
        <w:top w:val="none" w:sz="0" w:space="0" w:color="auto"/>
        <w:left w:val="none" w:sz="0" w:space="0" w:color="auto"/>
        <w:bottom w:val="none" w:sz="0" w:space="0" w:color="auto"/>
        <w:right w:val="none" w:sz="0" w:space="0" w:color="auto"/>
      </w:divBdr>
    </w:div>
    <w:div w:id="1242107234">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92196799">
      <w:bodyDiv w:val="1"/>
      <w:marLeft w:val="0"/>
      <w:marRight w:val="0"/>
      <w:marTop w:val="0"/>
      <w:marBottom w:val="0"/>
      <w:divBdr>
        <w:top w:val="none" w:sz="0" w:space="0" w:color="auto"/>
        <w:left w:val="none" w:sz="0" w:space="0" w:color="auto"/>
        <w:bottom w:val="none" w:sz="0" w:space="0" w:color="auto"/>
        <w:right w:val="none" w:sz="0" w:space="0" w:color="auto"/>
      </w:divBdr>
    </w:div>
    <w:div w:id="1465082771">
      <w:bodyDiv w:val="1"/>
      <w:marLeft w:val="0"/>
      <w:marRight w:val="0"/>
      <w:marTop w:val="0"/>
      <w:marBottom w:val="0"/>
      <w:divBdr>
        <w:top w:val="none" w:sz="0" w:space="0" w:color="auto"/>
        <w:left w:val="none" w:sz="0" w:space="0" w:color="auto"/>
        <w:bottom w:val="none" w:sz="0" w:space="0" w:color="auto"/>
        <w:right w:val="none" w:sz="0" w:space="0" w:color="auto"/>
      </w:divBdr>
    </w:div>
    <w:div w:id="1478720519">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589928404">
      <w:bodyDiv w:val="1"/>
      <w:marLeft w:val="0"/>
      <w:marRight w:val="0"/>
      <w:marTop w:val="0"/>
      <w:marBottom w:val="0"/>
      <w:divBdr>
        <w:top w:val="none" w:sz="0" w:space="0" w:color="auto"/>
        <w:left w:val="none" w:sz="0" w:space="0" w:color="auto"/>
        <w:bottom w:val="none" w:sz="0" w:space="0" w:color="auto"/>
        <w:right w:val="none" w:sz="0" w:space="0" w:color="auto"/>
      </w:divBdr>
    </w:div>
    <w:div w:id="1721710764">
      <w:bodyDiv w:val="1"/>
      <w:marLeft w:val="0"/>
      <w:marRight w:val="0"/>
      <w:marTop w:val="0"/>
      <w:marBottom w:val="0"/>
      <w:divBdr>
        <w:top w:val="none" w:sz="0" w:space="0" w:color="auto"/>
        <w:left w:val="none" w:sz="0" w:space="0" w:color="auto"/>
        <w:bottom w:val="none" w:sz="0" w:space="0" w:color="auto"/>
        <w:right w:val="none" w:sz="0" w:space="0" w:color="auto"/>
      </w:divBdr>
    </w:div>
    <w:div w:id="1806660358">
      <w:bodyDiv w:val="1"/>
      <w:marLeft w:val="0"/>
      <w:marRight w:val="0"/>
      <w:marTop w:val="0"/>
      <w:marBottom w:val="0"/>
      <w:divBdr>
        <w:top w:val="none" w:sz="0" w:space="0" w:color="auto"/>
        <w:left w:val="none" w:sz="0" w:space="0" w:color="auto"/>
        <w:bottom w:val="none" w:sz="0" w:space="0" w:color="auto"/>
        <w:right w:val="none" w:sz="0" w:space="0" w:color="auto"/>
      </w:divBdr>
    </w:div>
    <w:div w:id="1949123363">
      <w:bodyDiv w:val="1"/>
      <w:marLeft w:val="0"/>
      <w:marRight w:val="0"/>
      <w:marTop w:val="0"/>
      <w:marBottom w:val="0"/>
      <w:divBdr>
        <w:top w:val="none" w:sz="0" w:space="0" w:color="auto"/>
        <w:left w:val="none" w:sz="0" w:space="0" w:color="auto"/>
        <w:bottom w:val="none" w:sz="0" w:space="0" w:color="auto"/>
        <w:right w:val="none" w:sz="0" w:space="0" w:color="auto"/>
      </w:divBdr>
    </w:div>
    <w:div w:id="2032992619">
      <w:bodyDiv w:val="1"/>
      <w:marLeft w:val="0"/>
      <w:marRight w:val="0"/>
      <w:marTop w:val="0"/>
      <w:marBottom w:val="0"/>
      <w:divBdr>
        <w:top w:val="none" w:sz="0" w:space="0" w:color="auto"/>
        <w:left w:val="none" w:sz="0" w:space="0" w:color="auto"/>
        <w:bottom w:val="none" w:sz="0" w:space="0" w:color="auto"/>
        <w:right w:val="none" w:sz="0" w:space="0" w:color="auto"/>
      </w:divBdr>
    </w:div>
    <w:div w:id="214408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D:\&#29992;&#25143;\YINZHIBIN500\Desktop\&#20859;&#32769;&#20135;&#21697;\1&#12289;&#24320;&#25918;&#31649;&#29702;\&#20859;&#32769;&#20135;&#21697;&#24320;&#25918;--&#31649;&#29702;&#21488;&#2408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29992;&#25143;\YINZHIBIN500\Desktop\&#20859;&#32769;&#20135;&#21697;\0&#12289;&#26085;&#24120;&#31649;&#29702;\&#20928;&#20540;&#20844;&#21578;\&#20859;&#32769;&#20135;&#21697;&#27599;&#21608;&#20928;&#20540;&#349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29992;&#25143;\YINZHIBIN500\Desktop\&#20859;&#32769;&#20135;&#21697;\0&#12289;&#26085;&#24120;&#31649;&#29702;\&#20928;&#20540;&#20844;&#21578;\&#20859;&#32769;&#20135;&#21697;&#27599;&#21608;&#20928;&#20540;&#349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D:\&#29992;&#25143;\YINZHIBIN500\Desktop\&#20859;&#32769;&#20135;&#21697;\0&#12289;&#26085;&#24120;&#31649;&#29702;\&#20928;&#20540;&#20844;&#21578;\&#20859;&#32769;&#20135;&#21697;&#27599;&#21608;&#20928;&#20540;&#349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产品规模  </a:t>
            </a:r>
            <a:r>
              <a:rPr lang="zh-CN" altLang="en-US" sz="1000"/>
              <a:t>单位：亿元</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规模!$I$14:$I$25</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规模!$J$14:$J$25</c:f>
              <c:numCache>
                <c:formatCode>General</c:formatCode>
                <c:ptCount val="12"/>
                <c:pt idx="0">
                  <c:v>17.13</c:v>
                </c:pt>
                <c:pt idx="1">
                  <c:v>17.13</c:v>
                </c:pt>
                <c:pt idx="2">
                  <c:v>17.13</c:v>
                </c:pt>
                <c:pt idx="3">
                  <c:v>11.44</c:v>
                </c:pt>
                <c:pt idx="4">
                  <c:v>12.99</c:v>
                </c:pt>
                <c:pt idx="5">
                  <c:v>12.67</c:v>
                </c:pt>
                <c:pt idx="6">
                  <c:v>12.33</c:v>
                </c:pt>
                <c:pt idx="7">
                  <c:v>13.41</c:v>
                </c:pt>
                <c:pt idx="8">
                  <c:v>14.03</c:v>
                </c:pt>
                <c:pt idx="9" formatCode="0.00">
                  <c:v>14.2</c:v>
                </c:pt>
                <c:pt idx="10">
                  <c:v>14.23</c:v>
                </c:pt>
                <c:pt idx="11">
                  <c:v>12.91</c:v>
                </c:pt>
              </c:numCache>
            </c:numRef>
          </c:val>
        </c:ser>
        <c:dLbls>
          <c:dLblPos val="outEnd"/>
          <c:showLegendKey val="0"/>
          <c:showVal val="1"/>
          <c:showCatName val="0"/>
          <c:showSerName val="0"/>
          <c:showPercent val="0"/>
          <c:showBubbleSize val="0"/>
        </c:dLbls>
        <c:gapWidth val="219"/>
        <c:overlap val="-27"/>
        <c:axId val="410814584"/>
        <c:axId val="410814976"/>
      </c:barChart>
      <c:catAx>
        <c:axId val="410814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10814976"/>
        <c:crosses val="autoZero"/>
        <c:auto val="1"/>
        <c:lblAlgn val="ctr"/>
        <c:lblOffset val="100"/>
        <c:noMultiLvlLbl val="0"/>
      </c:catAx>
      <c:valAx>
        <c:axId val="410814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10814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t>养老</a:t>
            </a:r>
            <a:r>
              <a:rPr lang="en-US"/>
              <a:t>B</a:t>
            </a:r>
            <a:r>
              <a:rPr lang="zh-CN"/>
              <a:t>款 </a:t>
            </a:r>
            <a:r>
              <a:rPr lang="zh-CN" altLang="en-US"/>
              <a:t>累计</a:t>
            </a:r>
            <a:r>
              <a:rPr lang="zh-CN"/>
              <a:t>净值走势</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净值!$H$2</c:f>
              <c:strCache>
                <c:ptCount val="1"/>
                <c:pt idx="0">
                  <c:v>净值</c:v>
                </c:pt>
              </c:strCache>
            </c:strRef>
          </c:tx>
          <c:spPr>
            <a:ln w="28575" cap="rnd">
              <a:solidFill>
                <a:schemeClr val="accent2"/>
              </a:solidFill>
              <a:round/>
            </a:ln>
            <a:effectLst/>
          </c:spPr>
          <c:marker>
            <c:symbol val="none"/>
          </c:marker>
          <c:cat>
            <c:strRef>
              <c:f>净值!$G$15:$G$59</c:f>
              <c:strCache>
                <c:ptCount val="45"/>
                <c:pt idx="0">
                  <c:v>2017.01.01</c:v>
                </c:pt>
                <c:pt idx="44">
                  <c:v>2017.12.31</c:v>
                </c:pt>
              </c:strCache>
            </c:strRef>
          </c:cat>
          <c:val>
            <c:numRef>
              <c:f>净值!$H$15:$H$59</c:f>
              <c:numCache>
                <c:formatCode>General</c:formatCode>
                <c:ptCount val="45"/>
                <c:pt idx="0">
                  <c:v>1.0093000000000001</c:v>
                </c:pt>
                <c:pt idx="1">
                  <c:v>1.0102</c:v>
                </c:pt>
                <c:pt idx="2">
                  <c:v>1.0111000000000001</c:v>
                </c:pt>
                <c:pt idx="3">
                  <c:v>1.0121</c:v>
                </c:pt>
                <c:pt idx="4" formatCode="0.0000">
                  <c:v>1.0129999999999999</c:v>
                </c:pt>
                <c:pt idx="5" formatCode="0.0000">
                  <c:v>1.014</c:v>
                </c:pt>
                <c:pt idx="6">
                  <c:v>1.0148999999999999</c:v>
                </c:pt>
                <c:pt idx="7">
                  <c:v>1.0158</c:v>
                </c:pt>
                <c:pt idx="8">
                  <c:v>1.0166999999999999</c:v>
                </c:pt>
                <c:pt idx="9">
                  <c:v>1.0177</c:v>
                </c:pt>
                <c:pt idx="10">
                  <c:v>1.0185999999999999</c:v>
                </c:pt>
                <c:pt idx="11">
                  <c:v>1.0196000000000001</c:v>
                </c:pt>
                <c:pt idx="12">
                  <c:v>1.0205</c:v>
                </c:pt>
                <c:pt idx="13">
                  <c:v>1.0215000000000001</c:v>
                </c:pt>
                <c:pt idx="14">
                  <c:v>1.0230999999999999</c:v>
                </c:pt>
                <c:pt idx="15">
                  <c:v>1.0242</c:v>
                </c:pt>
                <c:pt idx="16">
                  <c:v>1.0259</c:v>
                </c:pt>
                <c:pt idx="17">
                  <c:v>1.0268999999999999</c:v>
                </c:pt>
                <c:pt idx="18">
                  <c:v>1.0282</c:v>
                </c:pt>
                <c:pt idx="19">
                  <c:v>1.0310999999999999</c:v>
                </c:pt>
                <c:pt idx="20">
                  <c:v>1.0339</c:v>
                </c:pt>
                <c:pt idx="21">
                  <c:v>1.0348999999999999</c:v>
                </c:pt>
                <c:pt idx="22">
                  <c:v>1.0368999999999999</c:v>
                </c:pt>
                <c:pt idx="23">
                  <c:v>1.0382</c:v>
                </c:pt>
                <c:pt idx="24">
                  <c:v>1.0387999999999999</c:v>
                </c:pt>
                <c:pt idx="25">
                  <c:v>1.0392999999999999</c:v>
                </c:pt>
                <c:pt idx="26">
                  <c:v>1.0415000000000001</c:v>
                </c:pt>
                <c:pt idx="27" formatCode="0.0000">
                  <c:v>1.0426</c:v>
                </c:pt>
                <c:pt idx="28">
                  <c:v>1.0435000000000001</c:v>
                </c:pt>
                <c:pt idx="29">
                  <c:v>1.0447</c:v>
                </c:pt>
                <c:pt idx="30">
                  <c:v>1.0468999999999999</c:v>
                </c:pt>
                <c:pt idx="31">
                  <c:v>1.0497000000000001</c:v>
                </c:pt>
                <c:pt idx="32">
                  <c:v>1.0505</c:v>
                </c:pt>
                <c:pt idx="33" formatCode="0.0000">
                  <c:v>1.052</c:v>
                </c:pt>
                <c:pt idx="34">
                  <c:v>1.0536000000000001</c:v>
                </c:pt>
                <c:pt idx="35">
                  <c:v>1.0548999999999999</c:v>
                </c:pt>
                <c:pt idx="36">
                  <c:v>1.0557000000000001</c:v>
                </c:pt>
                <c:pt idx="37">
                  <c:v>1.0569</c:v>
                </c:pt>
                <c:pt idx="38">
                  <c:v>1.0578000000000001</c:v>
                </c:pt>
                <c:pt idx="39">
                  <c:v>1.0588</c:v>
                </c:pt>
                <c:pt idx="40">
                  <c:v>1.0587</c:v>
                </c:pt>
                <c:pt idx="41">
                  <c:v>1.0598000000000001</c:v>
                </c:pt>
                <c:pt idx="42">
                  <c:v>1.0610999999999999</c:v>
                </c:pt>
                <c:pt idx="43">
                  <c:v>1.0627</c:v>
                </c:pt>
                <c:pt idx="44">
                  <c:v>1.0632999999999999</c:v>
                </c:pt>
              </c:numCache>
            </c:numRef>
          </c:val>
          <c:smooth val="0"/>
        </c:ser>
        <c:dLbls>
          <c:showLegendKey val="0"/>
          <c:showVal val="0"/>
          <c:showCatName val="0"/>
          <c:showSerName val="0"/>
          <c:showPercent val="0"/>
          <c:showBubbleSize val="0"/>
        </c:dLbls>
        <c:smooth val="0"/>
        <c:axId val="410815760"/>
        <c:axId val="410816152"/>
      </c:lineChart>
      <c:catAx>
        <c:axId val="41081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10816152"/>
        <c:crosses val="autoZero"/>
        <c:auto val="1"/>
        <c:lblAlgn val="ctr"/>
        <c:lblOffset val="100"/>
        <c:noMultiLvlLbl val="0"/>
      </c:catAx>
      <c:valAx>
        <c:axId val="410816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10815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养老</a:t>
            </a:r>
            <a:r>
              <a:rPr lang="en-US" altLang="zh-CN"/>
              <a:t>B</a:t>
            </a:r>
            <a:r>
              <a:rPr lang="zh-CN" altLang="en-US"/>
              <a:t>款</a:t>
            </a:r>
            <a:r>
              <a:rPr lang="zh-CN" altLang="en-US" baseline="0"/>
              <a:t> 年化</a:t>
            </a:r>
            <a:r>
              <a:rPr lang="zh-CN" altLang="en-US"/>
              <a:t>收益率</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0102493438320211"/>
          <c:y val="0.2"/>
          <c:w val="0.88532414698162731"/>
          <c:h val="0.59635972586759989"/>
        </c:manualLayout>
      </c:layout>
      <c:lineChart>
        <c:grouping val="stacked"/>
        <c:varyColors val="0"/>
        <c:ser>
          <c:idx val="0"/>
          <c:order val="0"/>
          <c:tx>
            <c:strRef>
              <c:f>净值!$I$2</c:f>
              <c:strCache>
                <c:ptCount val="1"/>
                <c:pt idx="0">
                  <c:v>收益率</c:v>
                </c:pt>
              </c:strCache>
            </c:strRef>
          </c:tx>
          <c:spPr>
            <a:ln w="28575" cap="rnd">
              <a:solidFill>
                <a:schemeClr val="accent6"/>
              </a:solidFill>
              <a:round/>
            </a:ln>
            <a:effectLst/>
          </c:spPr>
          <c:marker>
            <c:symbol val="none"/>
          </c:marker>
          <c:cat>
            <c:strRef>
              <c:extLst>
                <c:ext xmlns:c15="http://schemas.microsoft.com/office/drawing/2012/chart" uri="{02D57815-91ED-43cb-92C2-25804820EDAC}">
                  <c15:fullRef>
                    <c15:sqref>净值!$G$15:$G$59</c15:sqref>
                  </c15:fullRef>
                </c:ext>
              </c:extLst>
              <c:f>净值!$G$16:$G$59</c:f>
              <c:strCache>
                <c:ptCount val="44"/>
                <c:pt idx="43">
                  <c:v>2017.12.31</c:v>
                </c:pt>
              </c:strCache>
            </c:strRef>
          </c:cat>
          <c:val>
            <c:numRef>
              <c:extLst>
                <c:ext xmlns:c15="http://schemas.microsoft.com/office/drawing/2012/chart" uri="{02D57815-91ED-43cb-92C2-25804820EDAC}">
                  <c15:fullRef>
                    <c15:sqref>净值!$I$15:$I$59</c15:sqref>
                  </c15:fullRef>
                </c:ext>
              </c:extLst>
              <c:f>净值!$I$16:$I$59</c:f>
              <c:numCache>
                <c:formatCode>0.00%</c:formatCode>
                <c:ptCount val="44"/>
                <c:pt idx="0">
                  <c:v>4.0799999999999947E-2</c:v>
                </c:pt>
                <c:pt idx="1">
                  <c:v>4.1228571428571836E-2</c:v>
                </c:pt>
                <c:pt idx="2">
                  <c:v>4.1946666666666667E-2</c:v>
                </c:pt>
                <c:pt idx="3">
                  <c:v>4.2249999999999677E-2</c:v>
                </c:pt>
                <c:pt idx="4">
                  <c:v>4.2823529411764746E-2</c:v>
                </c:pt>
                <c:pt idx="5">
                  <c:v>4.3044444444444191E-2</c:v>
                </c:pt>
                <c:pt idx="6">
                  <c:v>4.3200000000000002E-2</c:v>
                </c:pt>
                <c:pt idx="7">
                  <c:v>4.3400000000000001E-2</c:v>
                </c:pt>
                <c:pt idx="8">
                  <c:v>4.3799999999999999E-2</c:v>
                </c:pt>
                <c:pt idx="9">
                  <c:v>4.4000000000000004E-2</c:v>
                </c:pt>
                <c:pt idx="10">
                  <c:v>4.4299999999999999E-2</c:v>
                </c:pt>
                <c:pt idx="11">
                  <c:v>4.4400000000000002E-2</c:v>
                </c:pt>
                <c:pt idx="12">
                  <c:v>4.4720000000000155E-2</c:v>
                </c:pt>
                <c:pt idx="13">
                  <c:v>4.4488888888888696E-2</c:v>
                </c:pt>
                <c:pt idx="14">
                  <c:v>4.4942857142857139E-2</c:v>
                </c:pt>
                <c:pt idx="15">
                  <c:v>4.6441379310344894E-2</c:v>
                </c:pt>
                <c:pt idx="16">
                  <c:v>4.6626666666666532E-2</c:v>
                </c:pt>
                <c:pt idx="17">
                  <c:v>4.7303225806451618E-2</c:v>
                </c:pt>
                <c:pt idx="18">
                  <c:v>4.7564705882352794E-2</c:v>
                </c:pt>
                <c:pt idx="19">
                  <c:v>4.8966666666666728E-2</c:v>
                </c:pt>
                <c:pt idx="20">
                  <c:v>4.9048648648648552E-2</c:v>
                </c:pt>
                <c:pt idx="21">
                  <c:v>5.0494736842105176E-2</c:v>
                </c:pt>
                <c:pt idx="22">
                  <c:v>5.0933333333333344E-2</c:v>
                </c:pt>
                <c:pt idx="23">
                  <c:v>5.0439999999999929E-2</c:v>
                </c:pt>
                <c:pt idx="24">
                  <c:v>4.984390243902425E-2</c:v>
                </c:pt>
                <c:pt idx="25">
                  <c:v>5.0186046511628016E-2</c:v>
                </c:pt>
                <c:pt idx="26">
                  <c:v>5.0345454545454513E-2</c:v>
                </c:pt>
                <c:pt idx="27">
                  <c:v>5.0266666666666772E-2</c:v>
                </c:pt>
                <c:pt idx="28">
                  <c:v>5.0530434782608651E-2</c:v>
                </c:pt>
                <c:pt idx="29">
                  <c:v>5.0808333333333275E-2</c:v>
                </c:pt>
                <c:pt idx="30">
                  <c:v>5.1688000000000081E-2</c:v>
                </c:pt>
                <c:pt idx="31">
                  <c:v>5.1490196078431361E-2</c:v>
                </c:pt>
                <c:pt idx="32">
                  <c:v>5.2000000000000046E-2</c:v>
                </c:pt>
                <c:pt idx="33">
                  <c:v>5.2588679245283113E-2</c:v>
                </c:pt>
                <c:pt idx="34">
                  <c:v>5.2866666666666617E-2</c:v>
                </c:pt>
                <c:pt idx="35">
                  <c:v>5.2661818181818261E-2</c:v>
                </c:pt>
                <c:pt idx="36">
                  <c:v>5.2835714285714236E-2</c:v>
                </c:pt>
                <c:pt idx="37">
                  <c:v>5.2729824561403585E-2</c:v>
                </c:pt>
                <c:pt idx="38">
                  <c:v>5.271724137931031E-2</c:v>
                </c:pt>
                <c:pt idx="39">
                  <c:v>5.1735593220338966E-2</c:v>
                </c:pt>
                <c:pt idx="40">
                  <c:v>5.1826666666666729E-2</c:v>
                </c:pt>
                <c:pt idx="41">
                  <c:v>5.2085245901639286E-2</c:v>
                </c:pt>
                <c:pt idx="42">
                  <c:v>5.2587096774193536E-2</c:v>
                </c:pt>
                <c:pt idx="43">
                  <c:v>5.2247619047618973E-2</c:v>
                </c:pt>
              </c:numCache>
            </c:numRef>
          </c:val>
          <c:smooth val="0"/>
        </c:ser>
        <c:dLbls>
          <c:showLegendKey val="0"/>
          <c:showVal val="0"/>
          <c:showCatName val="0"/>
          <c:showSerName val="0"/>
          <c:showPercent val="0"/>
          <c:showBubbleSize val="0"/>
        </c:dLbls>
        <c:smooth val="0"/>
        <c:axId val="410816936"/>
        <c:axId val="410817328"/>
      </c:lineChart>
      <c:catAx>
        <c:axId val="410816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10817328"/>
        <c:crosses val="autoZero"/>
        <c:auto val="1"/>
        <c:lblAlgn val="ctr"/>
        <c:lblOffset val="100"/>
        <c:noMultiLvlLbl val="0"/>
      </c:catAx>
      <c:valAx>
        <c:axId val="4108173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10816936"/>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养老</a:t>
            </a:r>
            <a:r>
              <a:rPr lang="en-US" altLang="zh-CN"/>
              <a:t>B</a:t>
            </a:r>
            <a:r>
              <a:rPr lang="zh-CN" altLang="en-US"/>
              <a:t>资产配置情况</a:t>
            </a:r>
          </a:p>
        </c:rich>
      </c:tx>
      <c:overlay val="0"/>
      <c:spPr>
        <a:noFill/>
        <a:ln>
          <a:noFill/>
        </a:ln>
        <a:effectLst/>
      </c:spPr>
    </c:title>
    <c:autoTitleDeleted val="0"/>
    <c:plotArea>
      <c:layout/>
      <c:pieChart>
        <c:varyColors val="1"/>
        <c:ser>
          <c:idx val="1"/>
          <c:order val="1"/>
          <c:tx>
            <c:strRef>
              <c:f>持仓!$I$23</c:f>
              <c:strCache>
                <c:ptCount val="1"/>
                <c:pt idx="0">
                  <c:v>占比</c:v>
                </c:pt>
              </c:strCache>
            </c:strRef>
          </c:tx>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2">
                  <a:lumMod val="60000"/>
                </a:schemeClr>
              </a:solidFill>
              <a:ln w="19050">
                <a:solidFill>
                  <a:schemeClr val="lt1"/>
                </a:solidFill>
              </a:ln>
              <a:effectLst/>
            </c:spPr>
          </c:dPt>
          <c:dPt>
            <c:idx val="4"/>
            <c:bubble3D val="0"/>
            <c:spPr>
              <a:solidFill>
                <a:schemeClr val="accent4">
                  <a:lumMod val="60000"/>
                </a:schemeClr>
              </a:solidFill>
              <a:ln w="19050">
                <a:solidFill>
                  <a:schemeClr val="lt1"/>
                </a:solidFill>
              </a:ln>
              <a:effectLst/>
            </c:spPr>
          </c:dPt>
          <c:dPt>
            <c:idx val="5"/>
            <c:bubble3D val="0"/>
            <c:spPr>
              <a:solidFill>
                <a:schemeClr val="accent6">
                  <a:lumMod val="60000"/>
                </a:schemeClr>
              </a:solidFill>
              <a:ln w="19050">
                <a:solidFill>
                  <a:schemeClr val="lt1"/>
                </a:solidFill>
              </a:ln>
              <a:effectLst/>
            </c:spPr>
          </c:dPt>
          <c:cat>
            <c:strRef>
              <c:f>持仓!$G$24:$G$29</c:f>
              <c:strCache>
                <c:ptCount val="6"/>
                <c:pt idx="0">
                  <c:v>权益类资产</c:v>
                </c:pt>
                <c:pt idx="1">
                  <c:v>定向增发</c:v>
                </c:pt>
                <c:pt idx="2">
                  <c:v>产业基金</c:v>
                </c:pt>
                <c:pt idx="3">
                  <c:v>非标准化债权资产</c:v>
                </c:pt>
                <c:pt idx="4">
                  <c:v>货币市场工具</c:v>
                </c:pt>
                <c:pt idx="5">
                  <c:v>存款</c:v>
                </c:pt>
              </c:strCache>
            </c:strRef>
          </c:cat>
          <c:val>
            <c:numRef>
              <c:f>持仓!$I$24:$I$29</c:f>
              <c:numCache>
                <c:formatCode>0.00%</c:formatCode>
                <c:ptCount val="6"/>
                <c:pt idx="0">
                  <c:v>1.3956031056778423E-2</c:v>
                </c:pt>
                <c:pt idx="1">
                  <c:v>1.1445805633269728E-2</c:v>
                </c:pt>
                <c:pt idx="2">
                  <c:v>0.1850519473642411</c:v>
                </c:pt>
                <c:pt idx="3">
                  <c:v>0.78818422025510104</c:v>
                </c:pt>
                <c:pt idx="4">
                  <c:v>8.0471629517586609E-4</c:v>
                </c:pt>
                <c:pt idx="5">
                  <c:v>5.5727939543403799E-4</c:v>
                </c:pt>
              </c:numCache>
            </c:numRef>
          </c:val>
        </c:ser>
        <c:dLbls>
          <c:showLegendKey val="0"/>
          <c:showVal val="0"/>
          <c:showCatName val="0"/>
          <c:showSerName val="0"/>
          <c:showPercent val="0"/>
          <c:showBubbleSize val="0"/>
          <c:showLeaderLines val="0"/>
        </c:dLbls>
        <c:firstSliceAng val="0"/>
        <c:extLst>
          <c:ext xmlns:c15="http://schemas.microsoft.com/office/drawing/2012/chart" uri="{02D57815-91ED-43cb-92C2-25804820EDAC}">
            <c15:filteredPieSeries>
              <c15:ser>
                <c:idx val="0"/>
                <c:order val="0"/>
                <c:tx>
                  <c:strRef>
                    <c:extLst>
                      <c:ext uri="{02D57815-91ED-43cb-92C2-25804820EDAC}">
                        <c15:formulaRef>
                          <c15:sqref>持仓!$H$23</c15:sqref>
                        </c15:formulaRef>
                      </c:ext>
                    </c:extLst>
                    <c:strCache>
                      <c:ptCount val="1"/>
                      <c:pt idx="0">
                        <c:v>金额</c:v>
                      </c:pt>
                    </c:strCache>
                  </c:strRef>
                </c:tx>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2">
                        <a:lumMod val="60000"/>
                      </a:schemeClr>
                    </a:solidFill>
                    <a:ln w="19050">
                      <a:solidFill>
                        <a:schemeClr val="lt1"/>
                      </a:solidFill>
                    </a:ln>
                    <a:effectLst/>
                  </c:spPr>
                </c:dPt>
                <c:dPt>
                  <c:idx val="4"/>
                  <c:bubble3D val="0"/>
                  <c:spPr>
                    <a:solidFill>
                      <a:schemeClr val="accent4">
                        <a:lumMod val="60000"/>
                      </a:schemeClr>
                    </a:solidFill>
                    <a:ln w="19050">
                      <a:solidFill>
                        <a:schemeClr val="lt1"/>
                      </a:solidFill>
                    </a:ln>
                    <a:effectLst/>
                  </c:spPr>
                </c:dPt>
                <c:dPt>
                  <c:idx val="5"/>
                  <c:bubble3D val="0"/>
                  <c:spPr>
                    <a:solidFill>
                      <a:schemeClr val="accent6">
                        <a:lumMod val="60000"/>
                      </a:schemeClr>
                    </a:solidFill>
                    <a:ln w="19050">
                      <a:solidFill>
                        <a:schemeClr val="lt1"/>
                      </a:solidFill>
                    </a:ln>
                    <a:effectLst/>
                  </c:spPr>
                </c:dPt>
                <c:cat>
                  <c:strRef>
                    <c:extLst>
                      <c:ext uri="{02D57815-91ED-43cb-92C2-25804820EDAC}">
                        <c15:formulaRef>
                          <c15:sqref>持仓!$G$24:$G$29</c15:sqref>
                        </c15:formulaRef>
                      </c:ext>
                    </c:extLst>
                    <c:strCache>
                      <c:ptCount val="6"/>
                      <c:pt idx="0">
                        <c:v>权益类资产</c:v>
                      </c:pt>
                      <c:pt idx="1">
                        <c:v>定向增发</c:v>
                      </c:pt>
                      <c:pt idx="2">
                        <c:v>产业基金</c:v>
                      </c:pt>
                      <c:pt idx="3">
                        <c:v>非标准化债权资产</c:v>
                      </c:pt>
                      <c:pt idx="4">
                        <c:v>货币市场工具</c:v>
                      </c:pt>
                      <c:pt idx="5">
                        <c:v>存款</c:v>
                      </c:pt>
                    </c:strCache>
                  </c:strRef>
                </c:cat>
                <c:val>
                  <c:numRef>
                    <c:extLst>
                      <c:ext uri="{02D57815-91ED-43cb-92C2-25804820EDAC}">
                        <c15:formulaRef>
                          <c15:sqref>持仓!$H$24:$H$29</c15:sqref>
                        </c15:formulaRef>
                      </c:ext>
                    </c:extLst>
                    <c:numCache>
                      <c:formatCode>#,##0.00</c:formatCode>
                      <c:ptCount val="6"/>
                      <c:pt idx="0">
                        <c:v>20362543.810000002</c:v>
                      </c:pt>
                      <c:pt idx="1">
                        <c:v>16700000</c:v>
                      </c:pt>
                      <c:pt idx="2">
                        <c:v>270000000</c:v>
                      </c:pt>
                      <c:pt idx="3">
                        <c:v>1150000000</c:v>
                      </c:pt>
                      <c:pt idx="4">
                        <c:v>1174121.1200000001</c:v>
                      </c:pt>
                      <c:pt idx="5">
                        <c:v>813098.37</c:v>
                      </c:pt>
                    </c:numCache>
                  </c:numRef>
                </c:val>
              </c15:ser>
            </c15:filteredPieSeries>
          </c:ext>
        </c:extLst>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894CC-7424-41E6-AEC5-B0F265B7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9</Pages>
  <Words>534</Words>
  <Characters>3046</Characters>
  <Application>Microsoft Office Word</Application>
  <DocSecurity>0</DocSecurity>
  <Lines>25</Lines>
  <Paragraphs>7</Paragraphs>
  <ScaleCrop>false</ScaleCrop>
  <Company>中国平安保险(集团)股份有限公司</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张鑫(平安银行资产管理事业部产品研发与政策研究室)</dc:creator>
  <cp:lastModifiedBy>尹志斌</cp:lastModifiedBy>
  <cp:revision>37</cp:revision>
  <dcterms:created xsi:type="dcterms:W3CDTF">2017-06-14T09:42:00Z</dcterms:created>
  <dcterms:modified xsi:type="dcterms:W3CDTF">2018-01-26T07:38:00Z</dcterms:modified>
</cp:coreProperties>
</file>