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w:t>
      </w:r>
      <w:r w:rsidR="002821E8">
        <w:rPr>
          <w:rFonts w:ascii="仿宋_GB2312" w:hAnsi="宋体" w:hint="eastAsia"/>
          <w:b/>
          <w:sz w:val="28"/>
          <w:szCs w:val="28"/>
        </w:rPr>
        <w:t>7</w:t>
      </w:r>
      <w:r w:rsidR="00F04A58">
        <w:rPr>
          <w:rFonts w:ascii="仿宋_GB2312" w:hAnsi="宋体" w:hint="eastAsia"/>
          <w:b/>
          <w:sz w:val="28"/>
          <w:szCs w:val="28"/>
        </w:rPr>
        <w:t>年</w:t>
      </w:r>
      <w:r w:rsidR="007A20CF">
        <w:rPr>
          <w:rFonts w:ascii="仿宋_GB2312" w:hAnsi="宋体" w:hint="eastAsia"/>
          <w:b/>
          <w:sz w:val="28"/>
          <w:szCs w:val="28"/>
        </w:rPr>
        <w:t>2</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604C4D" w:rsidP="001D5548">
      <w:pPr>
        <w:rPr>
          <w:rStyle w:val="corporatetitle1"/>
          <w:rFonts w:ascii="仿宋_GB2312"/>
          <w:snapToGrid w:val="0"/>
          <w:color w:val="000000"/>
          <w:sz w:val="28"/>
          <w:szCs w:val="28"/>
        </w:rPr>
      </w:pPr>
      <w:r w:rsidRPr="00604C4D">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7A20CF">
            <w:pPr>
              <w:rPr>
                <w:rFonts w:ascii="宋体" w:eastAsia="宋体" w:hAnsi="宋体"/>
                <w:bCs/>
                <w:sz w:val="21"/>
                <w:szCs w:val="21"/>
              </w:rPr>
            </w:pPr>
            <w:r w:rsidRPr="004A49FA">
              <w:rPr>
                <w:rFonts w:ascii="宋体" w:eastAsia="宋体" w:hAnsi="宋体" w:hint="eastAsia"/>
                <w:bCs/>
                <w:sz w:val="21"/>
                <w:szCs w:val="21"/>
              </w:rPr>
              <w:t>平安财富—和盈资产管理类20</w:t>
            </w:r>
            <w:r w:rsidR="00D46087">
              <w:rPr>
                <w:rFonts w:ascii="宋体" w:eastAsia="宋体" w:hAnsi="宋体" w:hint="eastAsia"/>
                <w:bCs/>
                <w:sz w:val="21"/>
                <w:szCs w:val="21"/>
              </w:rPr>
              <w:t>17</w:t>
            </w:r>
            <w:r w:rsidR="00C32335">
              <w:rPr>
                <w:rFonts w:ascii="宋体" w:eastAsia="宋体" w:hAnsi="宋体" w:hint="eastAsia"/>
                <w:bCs/>
                <w:sz w:val="21"/>
                <w:szCs w:val="21"/>
              </w:rPr>
              <w:t>年</w:t>
            </w:r>
            <w:r w:rsidR="007A20CF">
              <w:rPr>
                <w:rFonts w:ascii="宋体" w:eastAsia="宋体" w:hAnsi="宋体" w:hint="eastAsia"/>
                <w:bCs/>
                <w:sz w:val="21"/>
                <w:szCs w:val="21"/>
              </w:rPr>
              <w:t>2</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7A20CF">
            <w:pPr>
              <w:rPr>
                <w:rFonts w:ascii="宋体" w:eastAsia="宋体" w:hAnsi="宋体"/>
                <w:bCs/>
                <w:sz w:val="21"/>
                <w:szCs w:val="21"/>
              </w:rPr>
            </w:pPr>
            <w:r>
              <w:rPr>
                <w:rFonts w:ascii="宋体" w:eastAsia="宋体" w:hAnsi="宋体" w:hint="eastAsia"/>
                <w:bCs/>
                <w:sz w:val="21"/>
                <w:szCs w:val="21"/>
              </w:rPr>
              <w:t>DLM1</w:t>
            </w:r>
            <w:r w:rsidR="002821E8">
              <w:rPr>
                <w:rFonts w:ascii="宋体" w:eastAsia="宋体" w:hAnsi="宋体" w:hint="eastAsia"/>
                <w:bCs/>
                <w:sz w:val="21"/>
                <w:szCs w:val="21"/>
              </w:rPr>
              <w:t>7000</w:t>
            </w:r>
            <w:r w:rsidR="007A20CF">
              <w:rPr>
                <w:rFonts w:ascii="宋体" w:eastAsia="宋体" w:hAnsi="宋体" w:hint="eastAsia"/>
                <w:bCs/>
                <w:sz w:val="21"/>
                <w:szCs w:val="21"/>
              </w:rPr>
              <w:t>2</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7A20CF" w:rsidP="00440DC5">
            <w:pPr>
              <w:jc w:val="left"/>
              <w:rPr>
                <w:rFonts w:ascii="宋体" w:eastAsia="宋体" w:hAnsi="宋体" w:cs="宋体"/>
                <w:sz w:val="21"/>
                <w:szCs w:val="21"/>
              </w:rPr>
            </w:pPr>
            <w:r>
              <w:rPr>
                <w:rFonts w:ascii="宋体" w:eastAsia="宋体" w:hAnsi="宋体" w:cs="Arial" w:hint="eastAsia"/>
                <w:snapToGrid w:val="0"/>
                <w:sz w:val="21"/>
                <w:szCs w:val="21"/>
                <w:highlight w:val="yellow"/>
              </w:rPr>
              <w:t>548</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7A20CF" w:rsidP="00AE5EF2">
            <w:pPr>
              <w:rPr>
                <w:rFonts w:ascii="宋体" w:eastAsia="宋体" w:hAnsi="宋体" w:cs="宋体"/>
                <w:sz w:val="21"/>
                <w:szCs w:val="21"/>
              </w:rPr>
            </w:pPr>
            <w:r>
              <w:rPr>
                <w:rFonts w:ascii="宋体" w:eastAsia="宋体" w:hAnsi="宋体" w:hint="eastAsia"/>
                <w:noProof/>
                <w:sz w:val="21"/>
                <w:szCs w:val="21"/>
              </w:rPr>
              <w:t>15</w:t>
            </w:r>
            <w:r w:rsidR="002821E8">
              <w:rPr>
                <w:rFonts w:ascii="宋体" w:eastAsia="宋体" w:hAnsi="宋体" w:hint="eastAsia"/>
                <w:noProof/>
                <w:sz w:val="21"/>
                <w:szCs w:val="21"/>
              </w:rPr>
              <w:t>00</w:t>
            </w:r>
            <w:r w:rsidR="004A49FA">
              <w:rPr>
                <w:rFonts w:ascii="宋体" w:eastAsia="宋体" w:hAnsi="宋体" w:hint="eastAsia"/>
                <w:noProof/>
                <w:sz w:val="21"/>
                <w:szCs w:val="21"/>
              </w:rPr>
              <w:t>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0E18B1">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w:t>
            </w:r>
            <w:r w:rsidR="000E18B1">
              <w:rPr>
                <w:rFonts w:ascii="宋体" w:eastAsia="宋体" w:hAnsi="宋体" w:hint="eastAsia"/>
                <w:noProof/>
                <w:sz w:val="21"/>
                <w:szCs w:val="21"/>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7A20CF" w:rsidRDefault="008B630D" w:rsidP="00B058F7">
            <w:pPr>
              <w:rPr>
                <w:rFonts w:ascii="宋体" w:eastAsia="宋体" w:hAnsi="宋体"/>
                <w:spacing w:val="4"/>
                <w:sz w:val="21"/>
                <w:szCs w:val="21"/>
              </w:rPr>
            </w:pPr>
            <w:r w:rsidRPr="007A20CF">
              <w:rPr>
                <w:rFonts w:ascii="宋体" w:eastAsia="宋体" w:hAnsi="宋体" w:hint="eastAsia"/>
                <w:spacing w:val="4"/>
                <w:sz w:val="21"/>
                <w:szCs w:val="21"/>
              </w:rPr>
              <w:t>201</w:t>
            </w:r>
            <w:r w:rsidR="002821E8" w:rsidRPr="007A20CF">
              <w:rPr>
                <w:rFonts w:ascii="宋体" w:eastAsia="宋体" w:hAnsi="宋体" w:hint="eastAsia"/>
                <w:spacing w:val="4"/>
                <w:sz w:val="21"/>
                <w:szCs w:val="21"/>
              </w:rPr>
              <w:t>7</w:t>
            </w:r>
            <w:r w:rsidRPr="007A20CF">
              <w:rPr>
                <w:rFonts w:ascii="宋体" w:eastAsia="宋体" w:hAnsi="宋体" w:hint="eastAsia"/>
                <w:spacing w:val="4"/>
                <w:sz w:val="21"/>
                <w:szCs w:val="21"/>
              </w:rPr>
              <w:t>年</w:t>
            </w:r>
            <w:r w:rsidR="007A20CF" w:rsidRPr="007A20CF">
              <w:rPr>
                <w:rFonts w:ascii="宋体" w:eastAsia="宋体" w:hAnsi="宋体" w:hint="eastAsia"/>
                <w:spacing w:val="4"/>
                <w:sz w:val="21"/>
                <w:szCs w:val="21"/>
              </w:rPr>
              <w:t>3</w:t>
            </w:r>
            <w:r w:rsidRPr="007A20CF">
              <w:rPr>
                <w:rFonts w:ascii="宋体" w:eastAsia="宋体" w:hAnsi="宋体" w:hint="eastAsia"/>
                <w:spacing w:val="4"/>
                <w:sz w:val="21"/>
                <w:szCs w:val="21"/>
              </w:rPr>
              <w:t>月</w:t>
            </w:r>
            <w:r w:rsidR="007A20CF" w:rsidRPr="007A20CF">
              <w:rPr>
                <w:rFonts w:ascii="宋体" w:eastAsia="宋体" w:hAnsi="宋体" w:hint="eastAsia"/>
                <w:spacing w:val="4"/>
                <w:sz w:val="21"/>
                <w:szCs w:val="21"/>
              </w:rPr>
              <w:t>22</w:t>
            </w:r>
            <w:r w:rsidR="003A6501" w:rsidRPr="007A20CF">
              <w:rPr>
                <w:rFonts w:ascii="宋体" w:eastAsia="宋体" w:hAnsi="宋体" w:hint="eastAsia"/>
                <w:spacing w:val="4"/>
                <w:sz w:val="21"/>
                <w:szCs w:val="21"/>
              </w:rPr>
              <w:t>日</w:t>
            </w:r>
            <w:r w:rsidR="002812E8" w:rsidRPr="007A20CF">
              <w:rPr>
                <w:rFonts w:ascii="宋体" w:eastAsia="宋体" w:hAnsi="宋体" w:hint="eastAsia"/>
                <w:spacing w:val="4"/>
                <w:sz w:val="21"/>
                <w:szCs w:val="21"/>
              </w:rPr>
              <w:t>-</w:t>
            </w:r>
            <w:r w:rsidRPr="007A20CF">
              <w:rPr>
                <w:rFonts w:ascii="宋体" w:eastAsia="宋体" w:hAnsi="宋体" w:hint="eastAsia"/>
                <w:spacing w:val="4"/>
                <w:sz w:val="21"/>
                <w:szCs w:val="21"/>
              </w:rPr>
              <w:t>201</w:t>
            </w:r>
            <w:r w:rsidR="002821E8" w:rsidRPr="007A20CF">
              <w:rPr>
                <w:rFonts w:ascii="宋体" w:eastAsia="宋体" w:hAnsi="宋体" w:hint="eastAsia"/>
                <w:spacing w:val="4"/>
                <w:sz w:val="21"/>
                <w:szCs w:val="21"/>
              </w:rPr>
              <w:t>7</w:t>
            </w:r>
            <w:r w:rsidRPr="007A20CF">
              <w:rPr>
                <w:rFonts w:ascii="宋体" w:eastAsia="宋体" w:hAnsi="宋体" w:hint="eastAsia"/>
                <w:spacing w:val="4"/>
                <w:sz w:val="21"/>
                <w:szCs w:val="21"/>
              </w:rPr>
              <w:t>年</w:t>
            </w:r>
            <w:r w:rsidR="007A20CF" w:rsidRPr="007A20CF">
              <w:rPr>
                <w:rFonts w:ascii="宋体" w:eastAsia="宋体" w:hAnsi="宋体" w:hint="eastAsia"/>
                <w:spacing w:val="4"/>
                <w:sz w:val="21"/>
                <w:szCs w:val="21"/>
              </w:rPr>
              <w:t>3</w:t>
            </w:r>
            <w:r w:rsidRPr="007A20CF">
              <w:rPr>
                <w:rFonts w:ascii="宋体" w:eastAsia="宋体" w:hAnsi="宋体" w:hint="eastAsia"/>
                <w:spacing w:val="4"/>
                <w:sz w:val="21"/>
                <w:szCs w:val="21"/>
              </w:rPr>
              <w:t>月</w:t>
            </w:r>
            <w:r w:rsidR="007A20CF" w:rsidRPr="007A20CF">
              <w:rPr>
                <w:rFonts w:ascii="宋体" w:eastAsia="宋体" w:hAnsi="宋体" w:hint="eastAsia"/>
                <w:spacing w:val="4"/>
                <w:sz w:val="21"/>
                <w:szCs w:val="21"/>
              </w:rPr>
              <w:t>28</w:t>
            </w:r>
            <w:r w:rsidR="002A0C4C" w:rsidRPr="007A20CF">
              <w:rPr>
                <w:rFonts w:ascii="宋体" w:eastAsia="宋体" w:hAnsi="宋体" w:hint="eastAsia"/>
                <w:spacing w:val="4"/>
                <w:sz w:val="21"/>
                <w:szCs w:val="21"/>
              </w:rPr>
              <w:t>日</w:t>
            </w:r>
          </w:p>
          <w:p w:rsidR="00DE44C2" w:rsidRPr="00EC446D" w:rsidRDefault="00A74B7D" w:rsidP="003A59D1">
            <w:pPr>
              <w:rPr>
                <w:rFonts w:ascii="宋体" w:eastAsia="宋体" w:hAnsi="宋体"/>
                <w:sz w:val="21"/>
                <w:szCs w:val="21"/>
              </w:rPr>
            </w:pPr>
            <w:r w:rsidRPr="007A20CF">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7A20CF">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7A20CF">
              <w:rPr>
                <w:rFonts w:ascii="宋体" w:eastAsia="宋体" w:hAnsi="宋体" w:hint="eastAsia"/>
                <w:noProof/>
                <w:sz w:val="21"/>
                <w:szCs w:val="21"/>
                <w:highlight w:val="yellow"/>
              </w:rPr>
              <w:t>3</w:t>
            </w:r>
            <w:r>
              <w:rPr>
                <w:rFonts w:ascii="宋体" w:eastAsia="宋体" w:hAnsi="宋体" w:hint="eastAsia"/>
                <w:noProof/>
                <w:sz w:val="21"/>
                <w:szCs w:val="21"/>
                <w:highlight w:val="yellow"/>
              </w:rPr>
              <w:t>月</w:t>
            </w:r>
            <w:r w:rsidR="007A20CF">
              <w:rPr>
                <w:rFonts w:ascii="宋体" w:eastAsia="宋体" w:hAnsi="宋体" w:hint="eastAsia"/>
                <w:noProof/>
                <w:sz w:val="21"/>
                <w:szCs w:val="21"/>
                <w:highlight w:val="yellow"/>
              </w:rPr>
              <w:t>29</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7A20CF">
              <w:rPr>
                <w:rFonts w:ascii="宋体" w:eastAsia="宋体" w:hAnsi="宋体" w:hint="eastAsia"/>
                <w:noProof/>
                <w:sz w:val="21"/>
                <w:szCs w:val="21"/>
                <w:highlight w:val="yellow"/>
              </w:rPr>
              <w:t>3</w:t>
            </w:r>
            <w:r>
              <w:rPr>
                <w:rFonts w:ascii="宋体" w:eastAsia="宋体" w:hAnsi="宋体" w:hint="eastAsia"/>
                <w:noProof/>
                <w:sz w:val="21"/>
                <w:szCs w:val="21"/>
                <w:highlight w:val="yellow"/>
              </w:rPr>
              <w:t>月</w:t>
            </w:r>
            <w:r w:rsidR="007A20CF">
              <w:rPr>
                <w:rFonts w:ascii="宋体" w:eastAsia="宋体" w:hAnsi="宋体" w:hint="eastAsia"/>
                <w:noProof/>
                <w:sz w:val="21"/>
                <w:szCs w:val="21"/>
                <w:highlight w:val="yellow"/>
              </w:rPr>
              <w:t>29</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2821E8">
              <w:rPr>
                <w:rFonts w:ascii="宋体" w:eastAsia="宋体" w:hAnsi="宋体" w:hint="eastAsia"/>
                <w:noProof/>
                <w:sz w:val="21"/>
                <w:szCs w:val="21"/>
                <w:highlight w:val="yellow"/>
              </w:rPr>
              <w:t>8</w:t>
            </w:r>
            <w:r w:rsidRPr="00600213">
              <w:rPr>
                <w:rFonts w:ascii="宋体" w:eastAsia="宋体" w:hAnsi="宋体"/>
                <w:noProof/>
                <w:sz w:val="21"/>
                <w:szCs w:val="21"/>
                <w:highlight w:val="yellow"/>
              </w:rPr>
              <w:t>年</w:t>
            </w:r>
            <w:r w:rsidR="007A20CF">
              <w:rPr>
                <w:rFonts w:ascii="宋体" w:eastAsia="宋体" w:hAnsi="宋体" w:hint="eastAsia"/>
                <w:noProof/>
                <w:sz w:val="21"/>
                <w:szCs w:val="21"/>
                <w:highlight w:val="yellow"/>
              </w:rPr>
              <w:t>9</w:t>
            </w:r>
            <w:r w:rsidR="00FC4BA7" w:rsidRPr="00600213">
              <w:rPr>
                <w:rFonts w:ascii="宋体" w:eastAsia="宋体" w:hAnsi="宋体"/>
                <w:noProof/>
                <w:sz w:val="21"/>
                <w:szCs w:val="21"/>
                <w:highlight w:val="yellow"/>
              </w:rPr>
              <w:t>月</w:t>
            </w:r>
            <w:r w:rsidR="007A20CF">
              <w:rPr>
                <w:rFonts w:ascii="宋体" w:eastAsia="宋体" w:hAnsi="宋体" w:hint="eastAsia"/>
                <w:noProof/>
                <w:sz w:val="21"/>
                <w:szCs w:val="21"/>
                <w:highlight w:val="yellow"/>
              </w:rPr>
              <w:t>28</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7A20CF">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232F6B">
              <w:rPr>
                <w:rFonts w:ascii="宋体" w:eastAsia="宋体" w:hAnsi="宋体" w:hint="eastAsia"/>
                <w:sz w:val="21"/>
                <w:szCs w:val="21"/>
                <w:highlight w:val="yellow"/>
              </w:rPr>
              <w:lastRenderedPageBreak/>
              <w:t>2.</w:t>
            </w:r>
            <w:r w:rsidR="007A20CF">
              <w:rPr>
                <w:rFonts w:ascii="宋体" w:eastAsia="宋体" w:hAnsi="宋体" w:hint="eastAsia"/>
                <w:sz w:val="21"/>
                <w:szCs w:val="21"/>
                <w:highlight w:val="yellow"/>
              </w:rPr>
              <w:t>10</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2011BB">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2011BB">
              <w:rPr>
                <w:rFonts w:ascii="宋体" w:eastAsia="宋体" w:hAnsi="宋体" w:hint="eastAsia"/>
                <w:spacing w:val="4"/>
                <w:sz w:val="21"/>
                <w:szCs w:val="21"/>
              </w:rPr>
              <w:t>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w:t>
      </w:r>
      <w:r w:rsidR="000E18B1">
        <w:rPr>
          <w:rFonts w:ascii="宋体" w:eastAsia="宋体" w:hAnsi="宋体" w:hint="eastAsia"/>
          <w:snapToGrid w:val="0"/>
          <w:color w:val="000000"/>
          <w:sz w:val="21"/>
          <w:szCs w:val="21"/>
        </w:rPr>
        <w:t>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232F6B">
        <w:rPr>
          <w:rFonts w:ascii="宋体" w:eastAsia="宋体" w:hAnsi="宋体" w:hint="eastAsia"/>
          <w:sz w:val="21"/>
          <w:szCs w:val="21"/>
          <w:highlight w:val="yellow"/>
        </w:rPr>
        <w:t>2.</w:t>
      </w:r>
      <w:r w:rsidR="007A20CF">
        <w:rPr>
          <w:rFonts w:ascii="宋体" w:eastAsia="宋体" w:hAnsi="宋体" w:hint="eastAsia"/>
          <w:sz w:val="21"/>
          <w:szCs w:val="21"/>
          <w:highlight w:val="yellow"/>
        </w:rPr>
        <w:t>10</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0E18B1" w:rsidRDefault="000E18B1" w:rsidP="000E18B1">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w:t>
      </w:r>
      <w:r>
        <w:rPr>
          <w:rFonts w:ascii="宋体" w:eastAsia="宋体" w:hAnsi="宋体" w:hint="eastAsia"/>
          <w:snapToGrid w:val="0"/>
          <w:color w:val="000000"/>
          <w:sz w:val="21"/>
          <w:szCs w:val="21"/>
        </w:rPr>
        <w:t>0</w:t>
      </w:r>
    </w:p>
    <w:p w:rsidR="003E1110" w:rsidRPr="00EC446D" w:rsidRDefault="003E1110" w:rsidP="000E18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232F6B">
        <w:rPr>
          <w:rFonts w:ascii="宋体" w:eastAsia="宋体" w:hAnsi="宋体" w:hint="eastAsia"/>
          <w:sz w:val="21"/>
          <w:szCs w:val="21"/>
          <w:highlight w:val="yellow"/>
        </w:rPr>
        <w:t>2.</w:t>
      </w:r>
      <w:r w:rsidR="007A20CF">
        <w:rPr>
          <w:rFonts w:ascii="宋体" w:eastAsia="宋体" w:hAnsi="宋体" w:hint="eastAsia"/>
          <w:sz w:val="21"/>
          <w:szCs w:val="21"/>
          <w:highlight w:val="yellow"/>
        </w:rPr>
        <w:t>10</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2821E8">
        <w:rPr>
          <w:rFonts w:ascii="宋体" w:eastAsia="宋体" w:hAnsi="宋体" w:cs="Arial" w:hint="eastAsia"/>
          <w:snapToGrid w:val="0"/>
          <w:sz w:val="21"/>
          <w:szCs w:val="21"/>
        </w:rPr>
        <w:t>54</w:t>
      </w:r>
      <w:r w:rsidR="007A20CF">
        <w:rPr>
          <w:rFonts w:ascii="宋体" w:eastAsia="宋体" w:hAnsi="宋体" w:cs="Arial" w:hint="eastAsia"/>
          <w:snapToGrid w:val="0"/>
          <w:sz w:val="21"/>
          <w:szCs w:val="21"/>
        </w:rPr>
        <w:t>8</w:t>
      </w:r>
      <w:r w:rsidRPr="004A49FA">
        <w:rPr>
          <w:rFonts w:ascii="宋体" w:eastAsia="宋体" w:hAnsi="宋体" w:cs="Arial" w:hint="eastAsia"/>
          <w:snapToGrid w:val="0"/>
          <w:sz w:val="21"/>
          <w:szCs w:val="21"/>
        </w:rPr>
        <w:t>天，客户预期最高年化收益率为</w:t>
      </w:r>
      <w:r w:rsidR="00232F6B">
        <w:rPr>
          <w:rFonts w:ascii="宋体" w:eastAsia="宋体" w:hAnsi="宋体" w:cs="Arial" w:hint="eastAsia"/>
          <w:snapToGrid w:val="0"/>
          <w:sz w:val="21"/>
          <w:szCs w:val="21"/>
        </w:rPr>
        <w:t>2.</w:t>
      </w:r>
      <w:r w:rsidR="007A20CF">
        <w:rPr>
          <w:rFonts w:ascii="宋体" w:eastAsia="宋体" w:hAnsi="宋体" w:cs="Arial" w:hint="eastAsia"/>
          <w:snapToGrid w:val="0"/>
          <w:sz w:val="21"/>
          <w:szCs w:val="21"/>
        </w:rPr>
        <w:t>10</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sidR="00232F6B">
        <w:rPr>
          <w:rFonts w:ascii="宋体" w:eastAsia="宋体" w:hAnsi="宋体" w:cs="Arial" w:hint="eastAsia"/>
          <w:snapToGrid w:val="0"/>
          <w:sz w:val="21"/>
          <w:szCs w:val="21"/>
        </w:rPr>
        <w:t>2.</w:t>
      </w:r>
      <w:r w:rsidR="007A20CF">
        <w:rPr>
          <w:rFonts w:ascii="宋体" w:eastAsia="宋体" w:hAnsi="宋体" w:cs="Arial" w:hint="eastAsia"/>
          <w:snapToGrid w:val="0"/>
          <w:sz w:val="21"/>
          <w:szCs w:val="21"/>
        </w:rPr>
        <w:t>10</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54</w:t>
      </w:r>
      <w:r w:rsidR="007A20CF">
        <w:rPr>
          <w:rFonts w:ascii="宋体" w:eastAsia="宋体" w:hAnsi="宋体" w:cs="Arial" w:hint="eastAsia"/>
          <w:snapToGrid w:val="0"/>
          <w:sz w:val="21"/>
          <w:szCs w:val="21"/>
        </w:rPr>
        <w:t>8</w:t>
      </w:r>
      <w:r w:rsidRPr="004A49FA">
        <w:rPr>
          <w:rFonts w:ascii="宋体" w:eastAsia="宋体" w:hAnsi="宋体" w:cs="Arial" w:hint="eastAsia"/>
          <w:snapToGrid w:val="0"/>
          <w:sz w:val="21"/>
          <w:szCs w:val="21"/>
        </w:rPr>
        <w:t>/36</w:t>
      </w:r>
      <w:r w:rsidR="00232F6B">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sidR="007A20CF">
        <w:rPr>
          <w:rFonts w:ascii="宋体" w:eastAsia="宋体" w:hAnsi="宋体" w:cs="Arial" w:hint="eastAsia"/>
          <w:snapToGrid w:val="0"/>
          <w:sz w:val="21"/>
          <w:szCs w:val="21"/>
        </w:rPr>
        <w:t>6,393.33</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54</w:t>
      </w:r>
      <w:r w:rsidR="007A20CF">
        <w:rPr>
          <w:rFonts w:ascii="宋体" w:eastAsia="宋体" w:hAnsi="宋体" w:cs="Arial" w:hint="eastAsia"/>
          <w:snapToGrid w:val="0"/>
          <w:sz w:val="21"/>
          <w:szCs w:val="21"/>
        </w:rPr>
        <w:t>8</w:t>
      </w:r>
      <w:r w:rsidRPr="004A49FA">
        <w:rPr>
          <w:rFonts w:ascii="宋体" w:eastAsia="宋体" w:hAnsi="宋体" w:cs="Arial" w:hint="eastAsia"/>
          <w:snapToGrid w:val="0"/>
          <w:sz w:val="21"/>
          <w:szCs w:val="21"/>
        </w:rPr>
        <w:t>/3</w:t>
      </w:r>
      <w:r w:rsidR="00232F6B">
        <w:rPr>
          <w:rFonts w:ascii="宋体" w:eastAsia="宋体" w:hAnsi="宋体" w:cs="Arial" w:hint="eastAsia"/>
          <w:snapToGrid w:val="0"/>
          <w:sz w:val="21"/>
          <w:szCs w:val="21"/>
        </w:rPr>
        <w:t>60</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1,9</w:t>
      </w:r>
      <w:r w:rsidR="007A20CF">
        <w:rPr>
          <w:rFonts w:ascii="宋体" w:eastAsia="宋体" w:hAnsi="宋体" w:cs="Arial" w:hint="eastAsia"/>
          <w:snapToGrid w:val="0"/>
          <w:sz w:val="21"/>
          <w:szCs w:val="21"/>
        </w:rPr>
        <w:t>78.89</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w:t>
      </w:r>
      <w:r w:rsidR="000E18B1">
        <w:rPr>
          <w:rFonts w:ascii="宋体" w:eastAsia="宋体" w:hAnsi="宋体" w:hint="eastAsia"/>
          <w:snapToGrid w:val="0"/>
          <w:color w:val="000000"/>
          <w:sz w:val="21"/>
          <w:szCs w:val="21"/>
        </w:rPr>
        <w:t>剩余</w:t>
      </w:r>
      <w:r w:rsidRPr="00EC446D">
        <w:rPr>
          <w:rFonts w:ascii="宋体" w:eastAsia="宋体" w:hAnsi="宋体"/>
          <w:snapToGrid w:val="0"/>
          <w:color w:val="000000"/>
          <w:sz w:val="21"/>
          <w:szCs w:val="21"/>
        </w:rPr>
        <w:t>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w:t>
      </w:r>
      <w:r w:rsidR="002821E8">
        <w:rPr>
          <w:rFonts w:ascii="宋体" w:eastAsia="宋体" w:hAnsi="宋体" w:hint="eastAsia"/>
          <w:b/>
          <w:bCs/>
          <w:sz w:val="21"/>
          <w:szCs w:val="21"/>
        </w:rPr>
        <w:t>7</w:t>
      </w:r>
      <w:r w:rsidR="00C32335">
        <w:rPr>
          <w:rFonts w:ascii="宋体" w:eastAsia="宋体" w:hAnsi="宋体" w:hint="eastAsia"/>
          <w:b/>
          <w:bCs/>
          <w:sz w:val="21"/>
          <w:szCs w:val="21"/>
        </w:rPr>
        <w:t>年</w:t>
      </w:r>
      <w:r w:rsidR="007A20CF">
        <w:rPr>
          <w:rFonts w:ascii="宋体" w:eastAsia="宋体" w:hAnsi="宋体" w:hint="eastAsia"/>
          <w:b/>
          <w:bCs/>
          <w:sz w:val="21"/>
          <w:szCs w:val="21"/>
        </w:rPr>
        <w:t>2</w:t>
      </w:r>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w:t>
      </w:r>
      <w:r w:rsidR="002821E8">
        <w:rPr>
          <w:rFonts w:ascii="宋体" w:eastAsia="楷体_GB2312" w:hAnsi="宋体" w:cs="宋体" w:hint="eastAsia"/>
          <w:b/>
          <w:bCs/>
          <w:kern w:val="0"/>
          <w:sz w:val="24"/>
          <w:szCs w:val="21"/>
        </w:rPr>
        <w:t>7</w:t>
      </w:r>
      <w:r w:rsidR="00C32335">
        <w:rPr>
          <w:rFonts w:ascii="宋体" w:eastAsia="楷体_GB2312" w:hAnsi="宋体" w:cs="宋体" w:hint="eastAsia"/>
          <w:b/>
          <w:bCs/>
          <w:kern w:val="0"/>
          <w:sz w:val="24"/>
          <w:szCs w:val="21"/>
        </w:rPr>
        <w:t>年</w:t>
      </w:r>
      <w:r w:rsidR="007A20CF">
        <w:rPr>
          <w:rFonts w:ascii="宋体" w:eastAsia="楷体_GB2312" w:hAnsi="宋体" w:cs="宋体" w:hint="eastAsia"/>
          <w:b/>
          <w:bCs/>
          <w:kern w:val="0"/>
          <w:sz w:val="24"/>
          <w:szCs w:val="21"/>
        </w:rPr>
        <w:t>2</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1"/>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25B" w:rsidRDefault="0002325B" w:rsidP="004B657F">
      <w:r>
        <w:separator/>
      </w:r>
    </w:p>
  </w:endnote>
  <w:endnote w:type="continuationSeparator" w:id="0">
    <w:p w:rsidR="0002325B" w:rsidRDefault="0002325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04C4D"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04C4D"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02325B">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04C4D"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04C4D"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FC0443">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25B" w:rsidRDefault="0002325B" w:rsidP="004B657F">
      <w:r>
        <w:separator/>
      </w:r>
    </w:p>
  </w:footnote>
  <w:footnote w:type="continuationSeparator" w:id="0">
    <w:p w:rsidR="0002325B" w:rsidRDefault="0002325B" w:rsidP="004B6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55" w:rsidRDefault="00FC0443" w:rsidP="00FC0443">
    <w:pPr>
      <w:pStyle w:val="a6"/>
      <w:jc w:val="both"/>
      <w:rPr>
        <w:rStyle w:val="a3"/>
        <w:rFonts w:ascii="宋体" w:hAnsi="宋体" w:hint="eastAsia"/>
        <w:color w:val="auto"/>
        <w:spacing w:val="4"/>
      </w:rPr>
    </w:pPr>
    <w:r w:rsidRPr="00B14F0A">
      <w:rPr>
        <w:rStyle w:val="a3"/>
        <w:rFonts w:ascii="宋体" w:hAnsi="宋体" w:hint="eastAsia"/>
        <w:color w:val="auto"/>
        <w:spacing w:val="4"/>
      </w:rPr>
      <w:t>您可登录：中国理财网（</w:t>
    </w:r>
    <w:r w:rsidRPr="00B14F0A">
      <w:rPr>
        <w:rStyle w:val="a3"/>
        <w:rFonts w:ascii="宋体" w:hAnsi="宋体" w:hint="eastAsia"/>
        <w:color w:val="auto"/>
        <w:spacing w:val="4"/>
      </w:rPr>
      <w:t>http://www.chinawealth.com.cn/</w:t>
    </w:r>
    <w:r w:rsidRPr="00B14F0A">
      <w:rPr>
        <w:rStyle w:val="a3"/>
        <w:rFonts w:ascii="宋体" w:hAnsi="宋体" w:hint="eastAsia"/>
        <w:color w:val="auto"/>
        <w:spacing w:val="4"/>
      </w:rPr>
      <w:t>）</w:t>
    </w:r>
    <w:r>
      <w:rPr>
        <w:rStyle w:val="a3"/>
        <w:rFonts w:ascii="宋体" w:hAnsi="宋体" w:hint="eastAsia"/>
        <w:color w:val="auto"/>
        <w:spacing w:val="4"/>
      </w:rPr>
      <w:t>，</w:t>
    </w:r>
    <w:r w:rsidRPr="00B14F0A">
      <w:rPr>
        <w:rStyle w:val="a3"/>
        <w:rFonts w:ascii="宋体" w:hAnsi="宋体" w:hint="eastAsia"/>
        <w:color w:val="auto"/>
        <w:spacing w:val="4"/>
      </w:rPr>
      <w:t>查询产品信息，登记编码：</w:t>
    </w:r>
    <w:r>
      <w:rPr>
        <w:rStyle w:val="a3"/>
        <w:rFonts w:ascii="宋体" w:hAnsi="宋体"/>
        <w:color w:val="auto"/>
        <w:spacing w:val="4"/>
      </w:rPr>
      <w:t>C103071700032</w:t>
    </w:r>
    <w:r>
      <w:rPr>
        <w:rStyle w:val="a3"/>
        <w:rFonts w:ascii="宋体" w:hAnsi="宋体" w:hint="eastAsia"/>
        <w:color w:val="auto"/>
        <w:spacing w:val="4"/>
      </w:rPr>
      <w:t>5</w:t>
    </w:r>
  </w:p>
  <w:p w:rsidR="00FC0443" w:rsidRPr="00FC0443" w:rsidRDefault="00FC0443" w:rsidP="00FC0443">
    <w:pPr>
      <w:pStyle w:val="a6"/>
      <w:jc w:val="both"/>
      <w:rPr>
        <w:rFonts w:ascii="宋体" w:hAnsi="宋体"/>
        <w:spacing w:val="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325B"/>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18B1"/>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11BB"/>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2F6B"/>
    <w:rsid w:val="00233728"/>
    <w:rsid w:val="0023497C"/>
    <w:rsid w:val="0023609C"/>
    <w:rsid w:val="002418E6"/>
    <w:rsid w:val="00241AA7"/>
    <w:rsid w:val="00242555"/>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C95"/>
    <w:rsid w:val="00265F25"/>
    <w:rsid w:val="00266901"/>
    <w:rsid w:val="00267DFA"/>
    <w:rsid w:val="00270327"/>
    <w:rsid w:val="00270850"/>
    <w:rsid w:val="00272378"/>
    <w:rsid w:val="00272465"/>
    <w:rsid w:val="00273C71"/>
    <w:rsid w:val="00275EDE"/>
    <w:rsid w:val="00280737"/>
    <w:rsid w:val="002812E8"/>
    <w:rsid w:val="00281E82"/>
    <w:rsid w:val="002821E8"/>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6B5"/>
    <w:rsid w:val="005E0A80"/>
    <w:rsid w:val="005E200D"/>
    <w:rsid w:val="005E2B75"/>
    <w:rsid w:val="005E34CB"/>
    <w:rsid w:val="005E5BB3"/>
    <w:rsid w:val="005E60AE"/>
    <w:rsid w:val="005E7039"/>
    <w:rsid w:val="005F13A6"/>
    <w:rsid w:val="005F724D"/>
    <w:rsid w:val="00600213"/>
    <w:rsid w:val="0060169C"/>
    <w:rsid w:val="00603925"/>
    <w:rsid w:val="006047A7"/>
    <w:rsid w:val="00604C4D"/>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677ED"/>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0CF"/>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01CA"/>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01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5EF2"/>
    <w:rsid w:val="00AE7D06"/>
    <w:rsid w:val="00AF0192"/>
    <w:rsid w:val="00AF0C5E"/>
    <w:rsid w:val="00AF161A"/>
    <w:rsid w:val="00AF37A7"/>
    <w:rsid w:val="00AF3833"/>
    <w:rsid w:val="00AF3D77"/>
    <w:rsid w:val="00AF46B5"/>
    <w:rsid w:val="00AF4D3A"/>
    <w:rsid w:val="00AF63A4"/>
    <w:rsid w:val="00AF6F16"/>
    <w:rsid w:val="00AF70DC"/>
    <w:rsid w:val="00AF7F7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2BE"/>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C2"/>
    <w:rsid w:val="00D23AF9"/>
    <w:rsid w:val="00D24B18"/>
    <w:rsid w:val="00D253C8"/>
    <w:rsid w:val="00D26FB6"/>
    <w:rsid w:val="00D2748C"/>
    <w:rsid w:val="00D3026D"/>
    <w:rsid w:val="00D323D9"/>
    <w:rsid w:val="00D34715"/>
    <w:rsid w:val="00D34C5E"/>
    <w:rsid w:val="00D35683"/>
    <w:rsid w:val="00D35D5D"/>
    <w:rsid w:val="00D367AD"/>
    <w:rsid w:val="00D36B47"/>
    <w:rsid w:val="00D43A28"/>
    <w:rsid w:val="00D43CC8"/>
    <w:rsid w:val="00D44E57"/>
    <w:rsid w:val="00D458AE"/>
    <w:rsid w:val="00D46087"/>
    <w:rsid w:val="00D47783"/>
    <w:rsid w:val="00D47F8D"/>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98D"/>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3CD"/>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443"/>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uiPriority w:val="99"/>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881DD-5D5A-43E7-843F-F6EDB91A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108</TotalTime>
  <Pages>5</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32</cp:revision>
  <cp:lastPrinted>2010-07-27T08:59:00Z</cp:lastPrinted>
  <dcterms:created xsi:type="dcterms:W3CDTF">2013-07-15T07:44:00Z</dcterms:created>
  <dcterms:modified xsi:type="dcterms:W3CDTF">2017-03-20T05:40:00Z</dcterms:modified>
</cp:coreProperties>
</file>