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F1BAE" w:rsidRDefault="002F1BAE" w:rsidP="00CC33A6">
      <w:pPr>
        <w:adjustRightInd w:val="0"/>
        <w:snapToGrid w:val="0"/>
        <w:spacing w:line="288" w:lineRule="auto"/>
        <w:jc w:val="center"/>
        <w:rPr>
          <w:rFonts w:ascii="仿宋_GB2312" w:eastAsia="仿宋_GB2312" w:hAnsi="宋体"/>
          <w:b/>
          <w:noProof/>
          <w:snapToGrid w:val="0"/>
          <w:sz w:val="30"/>
          <w:szCs w:val="30"/>
        </w:rPr>
      </w:pPr>
      <w:r>
        <w:rPr>
          <w:rFonts w:ascii="仿宋_GB2312" w:eastAsia="仿宋_GB2312" w:hAnsi="宋体" w:hint="eastAsia"/>
          <w:b/>
          <w:noProof/>
          <w:snapToGrid w:val="0"/>
          <w:sz w:val="30"/>
          <w:szCs w:val="30"/>
        </w:rPr>
        <w:t>平安财富-周末发（保本）现金管理类</w:t>
      </w:r>
      <w:r w:rsidR="003F34E2">
        <w:rPr>
          <w:rFonts w:ascii="仿宋_GB2312" w:eastAsia="仿宋_GB2312" w:hAnsi="宋体" w:hint="eastAsia"/>
          <w:b/>
          <w:noProof/>
          <w:snapToGrid w:val="0"/>
          <w:sz w:val="30"/>
          <w:szCs w:val="30"/>
        </w:rPr>
        <w:t>2014年</w:t>
      </w:r>
      <w:r w:rsidR="0008265C">
        <w:rPr>
          <w:rFonts w:ascii="仿宋_GB2312" w:eastAsia="仿宋_GB2312" w:hAnsi="宋体" w:hint="eastAsia"/>
          <w:b/>
          <w:noProof/>
          <w:snapToGrid w:val="0"/>
          <w:sz w:val="30"/>
          <w:szCs w:val="30"/>
        </w:rPr>
        <w:t>91期</w:t>
      </w:r>
    </w:p>
    <w:p w:rsidR="008F20FE" w:rsidRPr="00CC33A6" w:rsidRDefault="008F20FE" w:rsidP="00CC33A6">
      <w:pPr>
        <w:adjustRightInd w:val="0"/>
        <w:snapToGrid w:val="0"/>
        <w:spacing w:line="288" w:lineRule="auto"/>
        <w:jc w:val="center"/>
        <w:rPr>
          <w:rFonts w:ascii="仿宋_GB2312" w:eastAsia="仿宋_GB2312" w:hAnsi="宋体"/>
          <w:b/>
          <w:snapToGrid w:val="0"/>
          <w:sz w:val="30"/>
          <w:szCs w:val="30"/>
        </w:rPr>
      </w:pPr>
      <w:r w:rsidRPr="00263625">
        <w:rPr>
          <w:rFonts w:ascii="仿宋_GB2312" w:eastAsia="仿宋_GB2312" w:hAnsi="宋体" w:hint="eastAsia"/>
          <w:b/>
          <w:noProof/>
          <w:snapToGrid w:val="0"/>
          <w:sz w:val="30"/>
          <w:szCs w:val="30"/>
        </w:rPr>
        <w:t>人民币理财产品</w:t>
      </w:r>
      <w:r w:rsidRPr="00CC33A6">
        <w:rPr>
          <w:rFonts w:ascii="仿宋_GB2312" w:eastAsia="仿宋_GB2312" w:hAnsi="宋体" w:hint="eastAsia"/>
          <w:b/>
          <w:sz w:val="30"/>
          <w:szCs w:val="30"/>
        </w:rPr>
        <w:t>风险揭示书</w:t>
      </w:r>
    </w:p>
    <w:p w:rsidR="008F20FE" w:rsidRDefault="008F20FE" w:rsidP="00A750C4">
      <w:pPr>
        <w:adjustRightInd w:val="0"/>
        <w:snapToGrid w:val="0"/>
        <w:spacing w:line="288" w:lineRule="auto"/>
        <w:ind w:right="128" w:firstLine="562"/>
        <w:jc w:val="right"/>
        <w:rPr>
          <w:rFonts w:ascii="仿宋_GB2312" w:eastAsia="仿宋_GB2312" w:hAnsi="宋体"/>
          <w:b/>
          <w:sz w:val="24"/>
        </w:rPr>
      </w:pPr>
    </w:p>
    <w:p w:rsidR="008F20FE" w:rsidRPr="00526AD6" w:rsidRDefault="008F20FE" w:rsidP="00CC33A6">
      <w:pPr>
        <w:adjustRightInd w:val="0"/>
        <w:snapToGrid w:val="0"/>
        <w:ind w:firstLine="562"/>
        <w:jc w:val="right"/>
        <w:rPr>
          <w:rFonts w:ascii="仿宋_GB2312" w:eastAsia="仿宋_GB2312" w:hAnsi="宋体"/>
          <w:b/>
          <w:sz w:val="24"/>
        </w:rPr>
      </w:pPr>
      <w:r w:rsidRPr="00526AD6">
        <w:rPr>
          <w:rFonts w:ascii="仿宋_GB2312" w:eastAsia="仿宋_GB2312" w:hAnsi="宋体" w:hint="eastAsia"/>
          <w:b/>
          <w:sz w:val="24"/>
        </w:rPr>
        <w:t>理财非存款、产品有风险、投资须谨慎</w:t>
      </w:r>
    </w:p>
    <w:p w:rsidR="008F20FE" w:rsidRPr="00BA53A6" w:rsidRDefault="008F20FE" w:rsidP="00CC33A6">
      <w:pPr>
        <w:adjustRightInd w:val="0"/>
        <w:snapToGrid w:val="0"/>
        <w:ind w:firstLineChars="237" w:firstLine="609"/>
        <w:rPr>
          <w:rFonts w:ascii="仿宋_GB2312" w:eastAsia="仿宋_GB2312" w:hAnsi="宋体"/>
          <w:b/>
          <w:sz w:val="24"/>
        </w:rPr>
      </w:pPr>
      <w:r w:rsidRPr="00BA53A6">
        <w:rPr>
          <w:rFonts w:ascii="仿宋_GB2312" w:eastAsia="仿宋_GB2312" w:hAnsi="宋体" w:hint="eastAsia"/>
          <w:b/>
          <w:sz w:val="24"/>
        </w:rPr>
        <w:t>本产品为保本</w:t>
      </w:r>
      <w:r>
        <w:rPr>
          <w:rFonts w:ascii="仿宋_GB2312" w:eastAsia="仿宋_GB2312" w:hAnsi="宋体" w:hint="eastAsia"/>
          <w:b/>
          <w:sz w:val="24"/>
        </w:rPr>
        <w:t>浮动</w:t>
      </w:r>
      <w:r w:rsidRPr="00BA53A6">
        <w:rPr>
          <w:rFonts w:ascii="仿宋_GB2312" w:eastAsia="仿宋_GB2312" w:hAnsi="宋体" w:hint="eastAsia"/>
          <w:b/>
          <w:sz w:val="24"/>
        </w:rPr>
        <w:t>收益型理财产品。</w:t>
      </w:r>
    </w:p>
    <w:p w:rsidR="008F20FE" w:rsidRPr="00526AD6" w:rsidRDefault="008F20FE" w:rsidP="00CC33A6">
      <w:pPr>
        <w:pStyle w:val="a5"/>
        <w:adjustRightInd w:val="0"/>
        <w:snapToGrid w:val="0"/>
        <w:spacing w:line="240" w:lineRule="auto"/>
        <w:rPr>
          <w:rFonts w:hAnsi="宋体" w:cs="Arial"/>
          <w:b/>
          <w:sz w:val="24"/>
        </w:rPr>
      </w:pPr>
      <w:r w:rsidRPr="000A0F57">
        <w:rPr>
          <w:rFonts w:hAnsi="宋体" w:hint="eastAsia"/>
          <w:b/>
          <w:sz w:val="24"/>
        </w:rPr>
        <w:t>特别提示：</w:t>
      </w:r>
      <w:r>
        <w:rPr>
          <w:rFonts w:hAnsi="宋体" w:hint="eastAsia"/>
          <w:b/>
          <w:sz w:val="24"/>
        </w:rPr>
        <w:t>本理财产品有投资风险，只保障理财资金本金，不保证理财收益，投资者应当充分认识投资风险，谨慎投资。</w:t>
      </w:r>
      <w:r w:rsidRPr="000A0F57" w:rsidDel="00526AD6">
        <w:rPr>
          <w:rFonts w:hAnsi="宋体" w:cs="Arial" w:hint="eastAsia"/>
          <w:b/>
          <w:sz w:val="24"/>
        </w:rPr>
        <w:t xml:space="preserve"> </w:t>
      </w:r>
    </w:p>
    <w:p w:rsidR="008F20FE" w:rsidRPr="001E60CF" w:rsidRDefault="008F20FE" w:rsidP="00CC33A6">
      <w:pPr>
        <w:adjustRightInd w:val="0"/>
        <w:snapToGrid w:val="0"/>
        <w:ind w:firstLine="480"/>
        <w:rPr>
          <w:rFonts w:ascii="仿宋_GB2312" w:eastAsia="仿宋_GB2312" w:hAnsi="宋体" w:cs="Arial"/>
          <w:sz w:val="24"/>
        </w:rPr>
      </w:pPr>
      <w:r>
        <w:rPr>
          <w:rFonts w:ascii="仿宋_GB2312" w:eastAsia="仿宋_GB2312" w:hAnsi="宋体" w:cs="Arial" w:hint="eastAsia"/>
          <w:sz w:val="24"/>
        </w:rPr>
        <w:t>本产品</w:t>
      </w:r>
      <w:r w:rsidRPr="00332226">
        <w:rPr>
          <w:rFonts w:ascii="仿宋_GB2312" w:eastAsia="仿宋_GB2312" w:hAnsi="宋体" w:cs="Arial" w:hint="eastAsia"/>
          <w:sz w:val="24"/>
        </w:rPr>
        <w:t>投资期限</w:t>
      </w:r>
      <w:r w:rsidRPr="001E60CF">
        <w:rPr>
          <w:rFonts w:ascii="仿宋_GB2312" w:eastAsia="仿宋_GB2312" w:hAnsi="宋体" w:cs="Arial" w:hint="eastAsia"/>
          <w:sz w:val="24"/>
        </w:rPr>
        <w:t>为</w:t>
      </w:r>
      <w:r w:rsidR="007203E2">
        <w:rPr>
          <w:rFonts w:ascii="仿宋_GB2312" w:eastAsia="仿宋_GB2312" w:hAnsi="宋体" w:cs="Arial" w:hint="eastAsia"/>
          <w:noProof/>
          <w:sz w:val="24"/>
          <w:highlight w:val="yellow"/>
        </w:rPr>
        <w:t>3</w:t>
      </w:r>
      <w:r w:rsidRPr="00EA0E2D">
        <w:rPr>
          <w:rFonts w:ascii="仿宋_GB2312" w:eastAsia="仿宋_GB2312" w:hAnsi="宋体" w:cs="Arial" w:hint="eastAsia"/>
          <w:noProof/>
          <w:sz w:val="24"/>
          <w:highlight w:val="yellow"/>
        </w:rPr>
        <w:t>天</w:t>
      </w:r>
      <w:r w:rsidRPr="00263625">
        <w:rPr>
          <w:rFonts w:ascii="仿宋_GB2312" w:eastAsia="仿宋_GB2312" w:hAnsi="宋体" w:cs="Arial" w:hint="eastAsia"/>
          <w:noProof/>
          <w:sz w:val="24"/>
        </w:rPr>
        <w:t>。（由于节假日的影响，理财计划的实际理财天数将大于或小于3天。客户可在开放期内办理赎回，未在规定时间内办理赎回的，视为自动再投资。）</w:t>
      </w:r>
      <w:r w:rsidRPr="001E60CF">
        <w:rPr>
          <w:rFonts w:ascii="仿宋_GB2312" w:eastAsia="仿宋_GB2312" w:hAnsi="宋体" w:cs="Arial" w:hint="eastAsia"/>
          <w:sz w:val="24"/>
        </w:rPr>
        <w:t>，</w:t>
      </w:r>
      <w:r w:rsidRPr="00EA0E2D">
        <w:rPr>
          <w:rFonts w:ascii="仿宋_GB2312" w:eastAsia="仿宋_GB2312" w:hAnsi="宋体" w:cs="Arial" w:hint="eastAsia"/>
          <w:sz w:val="24"/>
          <w:highlight w:val="yellow"/>
        </w:rPr>
        <w:t>风险评级为</w:t>
      </w:r>
      <w:r w:rsidRPr="00EA0E2D">
        <w:rPr>
          <w:rFonts w:ascii="仿宋_GB2312" w:eastAsia="仿宋_GB2312" w:hAnsi="宋体" w:cs="Arial" w:hint="eastAsia"/>
          <w:noProof/>
          <w:sz w:val="24"/>
          <w:highlight w:val="yellow"/>
        </w:rPr>
        <w:t>“一级”低风险</w:t>
      </w:r>
      <w:r w:rsidRPr="001E60CF">
        <w:rPr>
          <w:rFonts w:ascii="仿宋_GB2312" w:eastAsia="仿宋_GB2312" w:hAnsi="宋体" w:cs="Arial" w:hint="eastAsia"/>
          <w:sz w:val="24"/>
        </w:rPr>
        <w:t>，仅适合风险评级为</w:t>
      </w:r>
      <w:r w:rsidRPr="00263625">
        <w:rPr>
          <w:rFonts w:ascii="仿宋_GB2312" w:eastAsia="仿宋_GB2312" w:hAnsi="宋体" w:hint="eastAsia"/>
          <w:noProof/>
          <w:sz w:val="24"/>
        </w:rPr>
        <w:t>“保守型”、“稳健型”、“平衡型”、“成长型”、“进取型”</w:t>
      </w:r>
      <w:r w:rsidRPr="001E60CF">
        <w:rPr>
          <w:rFonts w:ascii="仿宋_GB2312" w:eastAsia="仿宋_GB2312" w:hAnsi="宋体" w:hint="eastAsia"/>
          <w:sz w:val="24"/>
        </w:rPr>
        <w:t>的客户认购。如影响投资者风险承受能力的因素发生变化，请及时重新完成风险承受能力评估。</w:t>
      </w:r>
    </w:p>
    <w:p w:rsidR="008F20FE" w:rsidRPr="001E60CF" w:rsidRDefault="008F20FE" w:rsidP="00CC33A6">
      <w:pPr>
        <w:pStyle w:val="a5"/>
        <w:adjustRightInd w:val="0"/>
        <w:snapToGrid w:val="0"/>
        <w:spacing w:line="240" w:lineRule="auto"/>
        <w:ind w:firstLineChars="200" w:firstLine="512"/>
        <w:rPr>
          <w:rFonts w:hAnsi="宋体" w:cs="Arial"/>
          <w:sz w:val="24"/>
        </w:rPr>
      </w:pPr>
      <w:r w:rsidRPr="001E60CF">
        <w:rPr>
          <w:rFonts w:hAnsi="宋体" w:cs="Arial" w:hint="eastAsia"/>
          <w:sz w:val="24"/>
        </w:rPr>
        <w:t>以下风险揭示内容请投资者详细阅读，在充分了解并清楚知晓本产品蕴含风险的基础上，通过自身判断自主参与交易，并自愿承担相关风险：</w:t>
      </w:r>
    </w:p>
    <w:p w:rsidR="008F20FE" w:rsidRPr="001E60CF" w:rsidRDefault="008F20FE" w:rsidP="00D333C7">
      <w:pPr>
        <w:adjustRightInd w:val="0"/>
        <w:snapToGrid w:val="0"/>
        <w:ind w:firstLineChars="200" w:firstLine="512"/>
        <w:textAlignment w:val="center"/>
        <w:rPr>
          <w:rFonts w:ascii="仿宋_GB2312" w:eastAsia="仿宋_GB2312" w:hAnsi="宋体" w:cs="Arial"/>
          <w:sz w:val="24"/>
          <w:szCs w:val="20"/>
        </w:rPr>
      </w:pPr>
      <w:r w:rsidRPr="001E60CF">
        <w:rPr>
          <w:rFonts w:ascii="仿宋_GB2312" w:eastAsia="仿宋_GB2312" w:hAnsi="宋体" w:cs="Arial" w:hint="eastAsia"/>
          <w:sz w:val="24"/>
          <w:szCs w:val="20"/>
        </w:rPr>
        <w:t>1．</w:t>
      </w:r>
      <w:r w:rsidRPr="001E60CF">
        <w:rPr>
          <w:rFonts w:ascii="仿宋_GB2312" w:eastAsia="仿宋_GB2312" w:hAnsi="宋体" w:cs="Arial"/>
          <w:sz w:val="24"/>
          <w:szCs w:val="20"/>
        </w:rPr>
        <w:t>信用风险：本理财产品募集资金投资于银行间市场信用等级较高</w:t>
      </w:r>
      <w:r w:rsidRPr="001E60CF">
        <w:rPr>
          <w:rFonts w:ascii="仿宋_GB2312" w:eastAsia="仿宋_GB2312" w:hAnsi="宋体" w:cs="Arial" w:hint="eastAsia"/>
          <w:sz w:val="24"/>
          <w:szCs w:val="20"/>
        </w:rPr>
        <w:t>、流动性较好</w:t>
      </w:r>
      <w:r w:rsidRPr="001E60CF">
        <w:rPr>
          <w:rFonts w:ascii="仿宋_GB2312" w:eastAsia="仿宋_GB2312" w:hAnsi="宋体" w:cs="Arial"/>
          <w:sz w:val="24"/>
          <w:szCs w:val="20"/>
        </w:rPr>
        <w:t>的债券或货币市场工具，</w:t>
      </w:r>
      <w:r w:rsidRPr="001E60CF">
        <w:rPr>
          <w:rFonts w:ascii="仿宋_GB2312" w:eastAsia="仿宋_GB2312" w:hAnsi="宋体" w:cs="Arial" w:hint="eastAsia"/>
          <w:sz w:val="24"/>
          <w:szCs w:val="20"/>
        </w:rPr>
        <w:t>包括但不限于：债券回购、拆借、存放同业、央行票据、国债、金融债、以及高信用级别的企业债券（企业债、公司债、短期融资券、中期票据等）等资产。</w:t>
      </w:r>
      <w:r w:rsidRPr="001E60CF">
        <w:rPr>
          <w:rFonts w:ascii="仿宋_GB2312" w:eastAsia="仿宋_GB2312" w:hAnsi="宋体" w:cs="Arial"/>
          <w:sz w:val="24"/>
          <w:szCs w:val="20"/>
        </w:rPr>
        <w:t>产品到期其本金及理财收益由平安银行负责支付，若产品存续期间平安银行发生信用风险如被依法撤销或被申请破产等，将对理财产品的投资本金及收益产生影响</w:t>
      </w:r>
      <w:r w:rsidRPr="001E60CF">
        <w:rPr>
          <w:rFonts w:ascii="仿宋_GB2312" w:eastAsia="仿宋_GB2312" w:hAnsi="宋体" w:cs="Arial" w:hint="eastAsia"/>
          <w:sz w:val="24"/>
          <w:szCs w:val="20"/>
        </w:rPr>
        <w:t>。</w:t>
      </w:r>
      <w:r w:rsidRPr="001E60CF">
        <w:rPr>
          <w:rFonts w:ascii="仿宋_GB2312" w:eastAsia="仿宋_GB2312" w:hAnsi="宋体" w:cs="Arial"/>
          <w:sz w:val="24"/>
          <w:szCs w:val="20"/>
        </w:rPr>
        <w:t>在最不利的情况下，投资者可能损失全部投资本金及理财收益。</w:t>
      </w:r>
    </w:p>
    <w:p w:rsidR="008F20FE" w:rsidRPr="001E60CF" w:rsidRDefault="008F20FE" w:rsidP="00CC33A6">
      <w:pPr>
        <w:pStyle w:val="a5"/>
        <w:adjustRightInd w:val="0"/>
        <w:snapToGrid w:val="0"/>
        <w:spacing w:line="240" w:lineRule="auto"/>
        <w:rPr>
          <w:rFonts w:hAnsi="宋体" w:cs="Arial"/>
          <w:sz w:val="24"/>
        </w:rPr>
      </w:pPr>
      <w:r w:rsidRPr="001E60CF">
        <w:rPr>
          <w:rFonts w:hAnsi="宋体" w:cs="Arial" w:hint="eastAsia"/>
          <w:sz w:val="24"/>
        </w:rPr>
        <w:t>2</w:t>
      </w:r>
      <w:r w:rsidRPr="001E60CF">
        <w:rPr>
          <w:rFonts w:hAnsi="宋体" w:cs="Arial"/>
          <w:sz w:val="24"/>
        </w:rPr>
        <w:t>．利率风险：如果在理财期内，市场利率上升，该理财计划的收益率不随市场利率上升而提高。</w:t>
      </w:r>
    </w:p>
    <w:p w:rsidR="008F20FE" w:rsidRPr="001E60CF" w:rsidRDefault="008F20FE" w:rsidP="00CC33A6">
      <w:pPr>
        <w:pStyle w:val="a5"/>
        <w:adjustRightInd w:val="0"/>
        <w:snapToGrid w:val="0"/>
        <w:spacing w:line="240" w:lineRule="auto"/>
        <w:rPr>
          <w:rFonts w:hAnsi="宋体" w:cs="Arial"/>
          <w:sz w:val="24"/>
        </w:rPr>
      </w:pPr>
      <w:r w:rsidRPr="001E60CF">
        <w:rPr>
          <w:rFonts w:hAnsi="宋体" w:cs="Arial" w:hint="eastAsia"/>
          <w:sz w:val="24"/>
        </w:rPr>
        <w:t>3</w:t>
      </w:r>
      <w:r w:rsidRPr="001E60CF">
        <w:rPr>
          <w:rFonts w:hAnsi="宋体" w:cs="Arial"/>
          <w:sz w:val="24"/>
        </w:rPr>
        <w:t>．流动性风险：投资者无权在理财期内提前终止，而只能在本产品说明书所规定的时间内办理产品申购与赎回。</w:t>
      </w:r>
    </w:p>
    <w:p w:rsidR="008F20FE" w:rsidRPr="001E60CF" w:rsidRDefault="008F20FE" w:rsidP="00CC33A6">
      <w:pPr>
        <w:pStyle w:val="a5"/>
        <w:adjustRightInd w:val="0"/>
        <w:snapToGrid w:val="0"/>
        <w:spacing w:line="240" w:lineRule="auto"/>
        <w:rPr>
          <w:rFonts w:hAnsi="宋体" w:cs="Arial"/>
          <w:sz w:val="24"/>
        </w:rPr>
      </w:pPr>
      <w:r w:rsidRPr="001E60CF">
        <w:rPr>
          <w:rFonts w:hAnsi="宋体" w:cs="Arial" w:hint="eastAsia"/>
          <w:sz w:val="24"/>
        </w:rPr>
        <w:t>4.再投资风险：理财产品结束或提前终止后，因市场利率下滑，可能导致本金和利息再投资收益率降低的风险</w:t>
      </w:r>
      <w:r w:rsidRPr="001E60CF">
        <w:rPr>
          <w:rFonts w:hAnsi="宋体" w:cs="Arial"/>
          <w:sz w:val="24"/>
        </w:rPr>
        <w:t>。</w:t>
      </w:r>
    </w:p>
    <w:p w:rsidR="008F20FE" w:rsidRPr="001E60CF" w:rsidRDefault="008F20FE" w:rsidP="00CC33A6">
      <w:pPr>
        <w:pStyle w:val="a5"/>
        <w:adjustRightInd w:val="0"/>
        <w:snapToGrid w:val="0"/>
        <w:spacing w:line="240" w:lineRule="auto"/>
        <w:rPr>
          <w:rFonts w:hAnsi="宋体" w:cs="Arial"/>
          <w:sz w:val="24"/>
        </w:rPr>
      </w:pPr>
      <w:r w:rsidRPr="001E60CF">
        <w:rPr>
          <w:rFonts w:hAnsi="宋体" w:cs="Arial" w:hint="eastAsia"/>
          <w:sz w:val="24"/>
        </w:rPr>
        <w:t>5</w:t>
      </w:r>
      <w:r w:rsidRPr="001E60CF">
        <w:rPr>
          <w:rFonts w:hAnsi="宋体" w:cs="Arial"/>
          <w:sz w:val="24"/>
        </w:rPr>
        <w:t>．理财计划不成立风险：如自本理财计划开始认购至认购结束的期间，市场发生剧烈波动，经平安银行合理判断难以按照本产品说明书规定向客户提供本理财计划，平安银行有权宣布本理财计划不成立。</w:t>
      </w:r>
    </w:p>
    <w:p w:rsidR="008F20FE" w:rsidRPr="001E60CF" w:rsidRDefault="008F20FE" w:rsidP="00CC33A6">
      <w:pPr>
        <w:pStyle w:val="a5"/>
        <w:adjustRightInd w:val="0"/>
        <w:snapToGrid w:val="0"/>
        <w:spacing w:line="240" w:lineRule="auto"/>
        <w:rPr>
          <w:rFonts w:hAnsi="宋体" w:cs="Arial"/>
          <w:sz w:val="24"/>
        </w:rPr>
      </w:pPr>
      <w:r w:rsidRPr="001E60CF">
        <w:rPr>
          <w:rFonts w:hAnsi="宋体" w:cs="Arial" w:hint="eastAsia"/>
          <w:sz w:val="24"/>
        </w:rPr>
        <w:t>6</w:t>
      </w:r>
      <w:r w:rsidRPr="001E60CF">
        <w:rPr>
          <w:rFonts w:hAnsi="宋体" w:cs="Arial"/>
          <w:sz w:val="24"/>
        </w:rPr>
        <w:t>．由投资者自身原因导致的本金风险：平安银行保证在到期日向投资者支付100%本金及</w:t>
      </w:r>
      <w:r w:rsidRPr="001E60CF">
        <w:rPr>
          <w:rFonts w:hAnsi="宋体" w:cs="Arial" w:hint="eastAsia"/>
          <w:sz w:val="24"/>
        </w:rPr>
        <w:t>产品说明书规定的</w:t>
      </w:r>
      <w:r w:rsidRPr="001E60CF">
        <w:rPr>
          <w:rFonts w:hAnsi="宋体" w:cs="Arial"/>
          <w:sz w:val="24"/>
        </w:rPr>
        <w:t>理财收益，但如果因为投资者违反本理财计划产品说明书的约定，如：</w:t>
      </w:r>
      <w:r w:rsidRPr="001E60CF">
        <w:rPr>
          <w:rFonts w:hAnsi="宋体" w:cs="Arial" w:hint="eastAsia"/>
          <w:sz w:val="24"/>
        </w:rPr>
        <w:t>违约</w:t>
      </w:r>
      <w:r w:rsidRPr="001E60CF">
        <w:rPr>
          <w:rFonts w:hAnsi="宋体" w:cs="Arial"/>
          <w:sz w:val="24"/>
        </w:rPr>
        <w:t>赎回其购买的理财计划，则本金</w:t>
      </w:r>
      <w:r w:rsidRPr="001E60CF">
        <w:rPr>
          <w:rFonts w:hAnsi="宋体" w:cs="Arial" w:hint="eastAsia"/>
          <w:sz w:val="24"/>
        </w:rPr>
        <w:t>及理财收益</w:t>
      </w:r>
      <w:r w:rsidRPr="001E60CF">
        <w:rPr>
          <w:rFonts w:hAnsi="宋体" w:cs="Arial"/>
          <w:sz w:val="24"/>
        </w:rPr>
        <w:t>保证条款对该投资者不再适用。此种情况下，投资者除了可能丧失本产品说明书约定的理财收益外，投资本金也可能会因市场变动而蒙受损失。投资者应在对相关风险有充分认识的基础上谨慎投资。</w:t>
      </w:r>
    </w:p>
    <w:p w:rsidR="008F20FE" w:rsidRPr="001E60CF" w:rsidRDefault="008F20FE" w:rsidP="00CC33A6">
      <w:pPr>
        <w:pStyle w:val="a5"/>
        <w:adjustRightInd w:val="0"/>
        <w:snapToGrid w:val="0"/>
        <w:spacing w:line="240" w:lineRule="auto"/>
        <w:rPr>
          <w:rFonts w:hAnsi="宋体" w:cs="Arial"/>
          <w:sz w:val="24"/>
        </w:rPr>
      </w:pPr>
      <w:r w:rsidRPr="001E60CF">
        <w:rPr>
          <w:rFonts w:hAnsi="宋体" w:cs="Arial" w:hint="eastAsia"/>
          <w:sz w:val="24"/>
        </w:rPr>
        <w:t>7</w:t>
      </w:r>
      <w:r w:rsidRPr="001E60CF">
        <w:rPr>
          <w:rFonts w:hAnsi="宋体" w:cs="Arial"/>
          <w:sz w:val="24"/>
        </w:rPr>
        <w:t>．信息传递风险：产品收益率、产品终止或提前终止、产品清算等事项，平安银行将通过自身网站</w:t>
      </w:r>
      <w:hyperlink r:id="rId7" w:history="1">
        <w:r w:rsidRPr="001E60CF">
          <w:rPr>
            <w:rStyle w:val="a9"/>
            <w:rFonts w:ascii="宋体" w:eastAsia="宋体" w:hAnsi="宋体" w:cs="Arial"/>
            <w:sz w:val="21"/>
            <w:szCs w:val="21"/>
          </w:rPr>
          <w:t>www.</w:t>
        </w:r>
        <w:r w:rsidRPr="001E60CF">
          <w:rPr>
            <w:rStyle w:val="a9"/>
            <w:rFonts w:ascii="宋体" w:eastAsia="宋体" w:hAnsi="宋体" w:cs="Arial" w:hint="eastAsia"/>
            <w:sz w:val="21"/>
            <w:szCs w:val="21"/>
          </w:rPr>
          <w:t>bank.pingan.com</w:t>
        </w:r>
      </w:hyperlink>
      <w:r w:rsidRPr="001E60CF">
        <w:rPr>
          <w:rFonts w:hAnsi="宋体" w:cs="Arial"/>
          <w:sz w:val="24"/>
        </w:rPr>
        <w:t>或营业网点发布公告，投资者应及时登录平安银行网站或到平安银行营业网点查询。如果投资者未及时查询，或由于通讯故障、系统故障以及其他不可抗力等因素的影响使得投资者无法及时了解产品信息，因此产生的责任和风险由投资者自行承担。另外，投资者预留在平安银行的有效联系方式变更的，应及时通知平安银行。如因投资者未及时告知平安银行联系方式变更的，平安银行将可能在需要联系投资者时无法及时联系上，并可能会由此影响投资者的投资决策，由此而产生的责任和风险由</w:t>
      </w:r>
      <w:r w:rsidRPr="001E60CF">
        <w:rPr>
          <w:rFonts w:hAnsi="宋体" w:cs="Arial"/>
          <w:sz w:val="24"/>
        </w:rPr>
        <w:lastRenderedPageBreak/>
        <w:t>投资者自行承担。</w:t>
      </w:r>
    </w:p>
    <w:p w:rsidR="008F20FE" w:rsidRPr="001E60CF" w:rsidRDefault="008F20FE" w:rsidP="00CC33A6">
      <w:pPr>
        <w:pStyle w:val="a5"/>
        <w:adjustRightInd w:val="0"/>
        <w:snapToGrid w:val="0"/>
        <w:spacing w:line="240" w:lineRule="auto"/>
        <w:rPr>
          <w:rFonts w:hAnsi="宋体" w:cs="Arial"/>
          <w:sz w:val="24"/>
        </w:rPr>
      </w:pPr>
      <w:r w:rsidRPr="001E60CF">
        <w:rPr>
          <w:rFonts w:hAnsi="宋体" w:cs="Arial" w:hint="eastAsia"/>
          <w:sz w:val="24"/>
        </w:rPr>
        <w:t>8</w:t>
      </w:r>
      <w:r w:rsidRPr="001E60CF">
        <w:rPr>
          <w:rFonts w:hAnsi="宋体" w:cs="Arial"/>
          <w:sz w:val="24"/>
        </w:rPr>
        <w:t>．政策法律风险：如国家宏观政策以及市场相关法规政策发生变化，可能影响理财计划的受理、投资、偿还等的正常进行。若因法律法规或政策等原因导致该理财计划提前终止或不能成立，则该理财计划相应提前终止或不成立。</w:t>
      </w:r>
    </w:p>
    <w:p w:rsidR="008F20FE" w:rsidRPr="001E60CF" w:rsidRDefault="008F20FE" w:rsidP="00CC33A6">
      <w:pPr>
        <w:pStyle w:val="a5"/>
        <w:adjustRightInd w:val="0"/>
        <w:snapToGrid w:val="0"/>
        <w:spacing w:line="240" w:lineRule="auto"/>
        <w:rPr>
          <w:rFonts w:hAnsi="宋体" w:cs="Arial"/>
          <w:sz w:val="24"/>
        </w:rPr>
      </w:pPr>
      <w:r w:rsidRPr="001E60CF">
        <w:rPr>
          <w:rFonts w:hAnsi="宋体" w:cs="Arial" w:hint="eastAsia"/>
          <w:sz w:val="24"/>
        </w:rPr>
        <w:t>9</w:t>
      </w:r>
      <w:r w:rsidRPr="001E60CF">
        <w:rPr>
          <w:rFonts w:hAnsi="宋体" w:cs="Arial"/>
          <w:sz w:val="24"/>
        </w:rPr>
        <w:t>．其他风险：指由于自然灾害、战争等不可抗力因素的出现，将严重影响金融市场的正常运行，从而导致理财资产收益降低或损失，甚至影响理财计划的受理、投资、偿还等的正常进行，进而影响理财计划的资产收益安全。</w:t>
      </w:r>
    </w:p>
    <w:p w:rsidR="008F20FE" w:rsidRPr="001E60CF" w:rsidRDefault="008F20FE" w:rsidP="00196F3E">
      <w:pPr>
        <w:adjustRightInd w:val="0"/>
        <w:snapToGrid w:val="0"/>
        <w:spacing w:line="288" w:lineRule="auto"/>
        <w:jc w:val="center"/>
        <w:rPr>
          <w:rFonts w:ascii="仿宋_GB2312" w:eastAsia="仿宋_GB2312" w:hAnsi="宋体"/>
          <w:b/>
          <w:kern w:val="0"/>
          <w:sz w:val="24"/>
        </w:rPr>
      </w:pPr>
    </w:p>
    <w:p w:rsidR="008F20FE" w:rsidRPr="001E60CF" w:rsidRDefault="008F20FE" w:rsidP="00A750C4">
      <w:pPr>
        <w:adjustRightInd w:val="0"/>
        <w:snapToGrid w:val="0"/>
        <w:spacing w:line="288" w:lineRule="auto"/>
        <w:jc w:val="center"/>
        <w:rPr>
          <w:rFonts w:ascii="仿宋_GB2312" w:eastAsia="仿宋_GB2312" w:hAnsi="宋体"/>
          <w:b/>
          <w:kern w:val="0"/>
          <w:sz w:val="32"/>
          <w:szCs w:val="32"/>
        </w:rPr>
      </w:pPr>
      <w:r w:rsidRPr="001E60CF">
        <w:rPr>
          <w:rFonts w:ascii="仿宋_GB2312" w:eastAsia="仿宋_GB2312" w:hAnsi="宋体" w:hint="eastAsia"/>
          <w:b/>
          <w:kern w:val="0"/>
          <w:sz w:val="32"/>
          <w:szCs w:val="32"/>
        </w:rPr>
        <w:t>确认函</w:t>
      </w:r>
    </w:p>
    <w:p w:rsidR="008F20FE" w:rsidRPr="009656C7" w:rsidRDefault="008F20FE" w:rsidP="00CC33A6">
      <w:pPr>
        <w:autoSpaceDE w:val="0"/>
        <w:autoSpaceDN w:val="0"/>
        <w:adjustRightInd w:val="0"/>
        <w:snapToGrid w:val="0"/>
        <w:ind w:firstLine="482"/>
        <w:rPr>
          <w:rFonts w:ascii="仿宋_GB2312" w:eastAsia="仿宋_GB2312" w:hAnsi="宋体"/>
          <w:snapToGrid w:val="0"/>
          <w:sz w:val="24"/>
        </w:rPr>
      </w:pPr>
      <w:r w:rsidRPr="001E60CF">
        <w:rPr>
          <w:rFonts w:ascii="仿宋_GB2312" w:eastAsia="仿宋_GB2312" w:hAnsi="宋体" w:hint="eastAsia"/>
          <w:b/>
          <w:kern w:val="0"/>
          <w:sz w:val="24"/>
        </w:rPr>
        <w:t>投资者在此声明：</w:t>
      </w:r>
      <w:r w:rsidRPr="001E60CF">
        <w:rPr>
          <w:rFonts w:ascii="仿宋_GB2312" w:eastAsia="仿宋_GB2312" w:hAnsi="宋体" w:hint="eastAsia"/>
          <w:sz w:val="24"/>
        </w:rPr>
        <w:t>本人已认真阅读并充分理解《平安银行理财产品协议书</w:t>
      </w:r>
      <w:r w:rsidR="00AC4676">
        <w:rPr>
          <w:rFonts w:ascii="仿宋_GB2312" w:eastAsia="仿宋_GB2312" w:hAnsi="宋体" w:hint="eastAsia"/>
          <w:sz w:val="24"/>
        </w:rPr>
        <w:t>（个人）</w:t>
      </w:r>
      <w:r w:rsidRPr="001E60CF">
        <w:rPr>
          <w:rFonts w:ascii="仿宋_GB2312" w:eastAsia="仿宋_GB2312" w:hAnsi="宋体" w:hint="eastAsia"/>
          <w:kern w:val="0"/>
          <w:sz w:val="24"/>
        </w:rPr>
        <w:t>》以及《</w:t>
      </w:r>
      <w:r w:rsidR="002F1BAE">
        <w:rPr>
          <w:rFonts w:ascii="仿宋_GB2312" w:eastAsia="仿宋_GB2312" w:hAnsi="宋体" w:hint="eastAsia"/>
          <w:noProof/>
          <w:snapToGrid w:val="0"/>
          <w:sz w:val="24"/>
        </w:rPr>
        <w:t>平安财富-周末发（保本）现金管理类</w:t>
      </w:r>
      <w:r w:rsidR="003F34E2">
        <w:rPr>
          <w:rFonts w:ascii="仿宋_GB2312" w:eastAsia="仿宋_GB2312" w:hAnsi="宋体" w:hint="eastAsia"/>
          <w:noProof/>
          <w:snapToGrid w:val="0"/>
          <w:sz w:val="24"/>
        </w:rPr>
        <w:t>2014年</w:t>
      </w:r>
      <w:r w:rsidR="0008265C">
        <w:rPr>
          <w:rFonts w:ascii="仿宋_GB2312" w:eastAsia="仿宋_GB2312" w:hAnsi="宋体" w:hint="eastAsia"/>
          <w:noProof/>
          <w:snapToGrid w:val="0"/>
          <w:sz w:val="24"/>
        </w:rPr>
        <w:t>91期</w:t>
      </w:r>
      <w:r w:rsidRPr="00263625">
        <w:rPr>
          <w:rFonts w:ascii="仿宋_GB2312" w:eastAsia="仿宋_GB2312" w:hAnsi="宋体" w:hint="eastAsia"/>
          <w:noProof/>
          <w:snapToGrid w:val="0"/>
          <w:sz w:val="24"/>
        </w:rPr>
        <w:t>人民币理财产品</w:t>
      </w:r>
      <w:r w:rsidRPr="001E60CF">
        <w:rPr>
          <w:rFonts w:ascii="仿宋_GB2312" w:eastAsia="仿宋_GB2312" w:hAnsi="宋体" w:hint="eastAsia"/>
          <w:snapToGrid w:val="0"/>
          <w:sz w:val="24"/>
        </w:rPr>
        <w:t>说明书</w:t>
      </w:r>
      <w:r w:rsidRPr="001E60CF">
        <w:rPr>
          <w:rFonts w:ascii="仿宋_GB2312" w:eastAsia="仿宋_GB2312" w:hAnsi="宋体" w:hint="eastAsia"/>
          <w:kern w:val="0"/>
          <w:sz w:val="24"/>
        </w:rPr>
        <w:t>》</w:t>
      </w:r>
      <w:r w:rsidRPr="001E60CF">
        <w:rPr>
          <w:rFonts w:ascii="仿宋_GB2312" w:eastAsia="仿宋_GB2312" w:hAnsi="宋体" w:hint="eastAsia"/>
          <w:sz w:val="24"/>
        </w:rPr>
        <w:t>与上列《风险揭示书》的条款与内容，</w:t>
      </w:r>
      <w:r w:rsidRPr="001E60CF">
        <w:rPr>
          <w:rFonts w:ascii="仿宋_GB2312" w:eastAsia="仿宋_GB2312" w:hAnsi="宋体" w:hint="eastAsia"/>
          <w:snapToGrid w:val="0"/>
          <w:sz w:val="24"/>
        </w:rPr>
        <w:t>充分了解并清楚知晓本理财产品蕴含的风险。</w:t>
      </w:r>
      <w:r w:rsidRPr="001E60CF">
        <w:rPr>
          <w:rFonts w:ascii="仿宋_GB2312" w:eastAsia="仿宋_GB2312" w:hAnsi="宋体" w:hint="eastAsia"/>
          <w:sz w:val="24"/>
        </w:rPr>
        <w:t>充分了解履行上述合同文件的责任，具</w:t>
      </w:r>
      <w:r w:rsidRPr="009656C7">
        <w:rPr>
          <w:rFonts w:ascii="仿宋_GB2312" w:eastAsia="仿宋_GB2312" w:hAnsi="宋体" w:hint="eastAsia"/>
          <w:sz w:val="24"/>
        </w:rPr>
        <w:t>有识别及承担相关风险的能力，充分了解本理财产品的风险并愿意承担相关风险，本人拟进行的理财交易完全符合本人从事该交易的目的与投资目标；本人充分了解除上述产品说明书明确规定的收益或收益分配方式外，任何预计收益、预期收益、测算收益或类似表述均属不具有法律效力的用语，不代表投资者可能获得的实际收益，以不构成</w:t>
      </w:r>
      <w:r>
        <w:rPr>
          <w:rFonts w:ascii="仿宋_GB2312" w:eastAsia="仿宋_GB2312" w:hAnsi="宋体" w:hint="eastAsia"/>
          <w:sz w:val="24"/>
        </w:rPr>
        <w:t>平安银行</w:t>
      </w:r>
      <w:r w:rsidRPr="009656C7">
        <w:rPr>
          <w:rFonts w:ascii="仿宋_GB2312" w:eastAsia="仿宋_GB2312" w:hAnsi="宋体" w:hint="eastAsia"/>
          <w:sz w:val="24"/>
        </w:rPr>
        <w:t>对本理财计划的任何收益承诺，仅供投资者进行投资决策时参考。本人声明</w:t>
      </w:r>
      <w:r>
        <w:rPr>
          <w:rFonts w:ascii="仿宋_GB2312" w:eastAsia="仿宋_GB2312" w:hAnsi="宋体" w:hint="eastAsia"/>
          <w:sz w:val="24"/>
        </w:rPr>
        <w:t>平安银行</w:t>
      </w:r>
      <w:r w:rsidRPr="009656C7">
        <w:rPr>
          <w:rFonts w:ascii="仿宋_GB2312" w:eastAsia="仿宋_GB2312" w:hAnsi="宋体" w:hint="eastAsia"/>
          <w:sz w:val="24"/>
        </w:rPr>
        <w:t>可仅凭本《确认函》即确认本人已理解并有能力承担相关理财交易的风险。</w:t>
      </w:r>
    </w:p>
    <w:p w:rsidR="008F20FE" w:rsidRPr="009656C7" w:rsidRDefault="008F20FE" w:rsidP="00CC33A6">
      <w:pPr>
        <w:adjustRightInd w:val="0"/>
        <w:snapToGrid w:val="0"/>
        <w:ind w:firstLine="482"/>
        <w:rPr>
          <w:rFonts w:ascii="仿宋_GB2312" w:eastAsia="仿宋_GB2312" w:hAnsi="宋体"/>
          <w:b/>
          <w:kern w:val="0"/>
          <w:sz w:val="24"/>
        </w:rPr>
      </w:pPr>
      <w:r w:rsidRPr="009656C7">
        <w:rPr>
          <w:rFonts w:ascii="仿宋_GB2312" w:eastAsia="仿宋_GB2312" w:hAnsi="宋体" w:hint="eastAsia"/>
          <w:b/>
          <w:kern w:val="0"/>
          <w:sz w:val="24"/>
        </w:rPr>
        <w:t>投资者在此确认</w:t>
      </w:r>
      <w:r w:rsidRPr="00332226">
        <w:rPr>
          <w:rFonts w:ascii="仿宋_GB2312" w:eastAsia="仿宋_GB2312" w:hAnsi="宋体" w:hint="eastAsia"/>
          <w:b/>
          <w:kern w:val="0"/>
          <w:sz w:val="24"/>
        </w:rPr>
        <w:t>：本人风险承受能力评级为：    ，本</w:t>
      </w:r>
      <w:r w:rsidRPr="009656C7">
        <w:rPr>
          <w:rFonts w:ascii="仿宋_GB2312" w:eastAsia="仿宋_GB2312" w:hAnsi="宋体" w:hint="eastAsia"/>
          <w:b/>
          <w:kern w:val="0"/>
          <w:sz w:val="24"/>
        </w:rPr>
        <w:t>人已充分认识叙做本合同项下交易的风险和收益，并在已充分了解合同文件内容的基础上，根据自身独立判断自主参与交易，并未依赖于银行在合同条款及产品合约之外的任何陈述、说明、文件或承诺。</w:t>
      </w:r>
    </w:p>
    <w:p w:rsidR="008F20FE" w:rsidRPr="009656C7" w:rsidRDefault="008F20FE" w:rsidP="00CC33A6">
      <w:pPr>
        <w:adjustRightInd w:val="0"/>
        <w:snapToGrid w:val="0"/>
        <w:ind w:firstLineChars="192" w:firstLine="493"/>
        <w:rPr>
          <w:rFonts w:ascii="仿宋_GB2312" w:eastAsia="仿宋_GB2312" w:hAnsi="宋体"/>
          <w:b/>
          <w:kern w:val="0"/>
          <w:sz w:val="24"/>
        </w:rPr>
      </w:pPr>
      <w:r w:rsidRPr="009656C7">
        <w:rPr>
          <w:rFonts w:ascii="仿宋_GB2312" w:eastAsia="仿宋_GB2312" w:hAnsi="宋体" w:hint="eastAsia"/>
          <w:b/>
          <w:kern w:val="0"/>
          <w:sz w:val="24"/>
        </w:rPr>
        <w:t>根据中国银行业监督委员会令（20</w:t>
      </w:r>
      <w:r>
        <w:rPr>
          <w:rFonts w:ascii="仿宋_GB2312" w:eastAsia="仿宋_GB2312" w:hAnsi="宋体" w:hint="eastAsia"/>
          <w:b/>
          <w:kern w:val="0"/>
          <w:sz w:val="24"/>
        </w:rPr>
        <w:t>11</w:t>
      </w:r>
      <w:r w:rsidRPr="009656C7">
        <w:rPr>
          <w:rFonts w:ascii="仿宋_GB2312" w:eastAsia="仿宋_GB2312" w:hAnsi="宋体" w:hint="eastAsia"/>
          <w:b/>
          <w:kern w:val="0"/>
          <w:sz w:val="24"/>
        </w:rPr>
        <w:t>年第</w:t>
      </w:r>
      <w:r>
        <w:rPr>
          <w:rFonts w:ascii="仿宋_GB2312" w:eastAsia="仿宋_GB2312" w:hAnsi="宋体" w:hint="eastAsia"/>
          <w:b/>
          <w:kern w:val="0"/>
          <w:sz w:val="24"/>
        </w:rPr>
        <w:t>5</w:t>
      </w:r>
      <w:r w:rsidRPr="009656C7">
        <w:rPr>
          <w:rFonts w:ascii="仿宋_GB2312" w:eastAsia="仿宋_GB2312" w:hAnsi="宋体" w:hint="eastAsia"/>
          <w:b/>
          <w:kern w:val="0"/>
          <w:sz w:val="24"/>
        </w:rPr>
        <w:t>号）文《</w:t>
      </w:r>
      <w:r>
        <w:rPr>
          <w:rFonts w:ascii="仿宋_GB2312" w:eastAsia="仿宋_GB2312" w:hAnsi="宋体" w:hint="eastAsia"/>
          <w:b/>
          <w:kern w:val="0"/>
          <w:sz w:val="24"/>
        </w:rPr>
        <w:t>商业银行理财产品销售管理办法</w:t>
      </w:r>
      <w:r w:rsidRPr="009656C7">
        <w:rPr>
          <w:rFonts w:ascii="仿宋_GB2312" w:eastAsia="仿宋_GB2312" w:hAnsi="宋体" w:hint="eastAsia"/>
          <w:b/>
          <w:kern w:val="0"/>
          <w:sz w:val="24"/>
        </w:rPr>
        <w:t>》，请抄录以下语句并签字：</w:t>
      </w:r>
    </w:p>
    <w:p w:rsidR="008F20FE" w:rsidRDefault="008F20FE" w:rsidP="00CC33A6">
      <w:pPr>
        <w:pBdr>
          <w:bottom w:val="single" w:sz="12" w:space="1" w:color="auto"/>
        </w:pBdr>
        <w:adjustRightInd w:val="0"/>
        <w:snapToGrid w:val="0"/>
        <w:ind w:firstLine="241"/>
        <w:rPr>
          <w:rFonts w:ascii="仿宋_GB2312" w:eastAsia="仿宋_GB2312" w:hAnsi="宋体"/>
          <w:b/>
          <w:kern w:val="0"/>
          <w:sz w:val="24"/>
        </w:rPr>
      </w:pPr>
      <w:r w:rsidRPr="009656C7">
        <w:rPr>
          <w:rFonts w:ascii="仿宋_GB2312" w:eastAsia="仿宋_GB2312" w:hAnsi="宋体" w:hint="eastAsia"/>
          <w:b/>
          <w:kern w:val="0"/>
          <w:sz w:val="24"/>
        </w:rPr>
        <w:t>“本人已经阅读上述风险提示</w:t>
      </w:r>
      <w:r>
        <w:rPr>
          <w:rFonts w:ascii="仿宋_GB2312" w:eastAsia="仿宋_GB2312" w:hAnsi="宋体" w:hint="eastAsia"/>
          <w:b/>
          <w:kern w:val="0"/>
          <w:sz w:val="24"/>
        </w:rPr>
        <w:t>，</w:t>
      </w:r>
      <w:r w:rsidRPr="009656C7">
        <w:rPr>
          <w:rFonts w:ascii="仿宋_GB2312" w:eastAsia="仿宋_GB2312" w:hAnsi="宋体" w:hint="eastAsia"/>
          <w:b/>
          <w:kern w:val="0"/>
          <w:sz w:val="24"/>
        </w:rPr>
        <w:t>愿意承担相关风险。”</w:t>
      </w:r>
    </w:p>
    <w:p w:rsidR="008F20FE" w:rsidRDefault="008F20FE" w:rsidP="00CC33A6">
      <w:pPr>
        <w:pBdr>
          <w:bottom w:val="single" w:sz="12" w:space="1" w:color="auto"/>
        </w:pBdr>
        <w:adjustRightInd w:val="0"/>
        <w:snapToGrid w:val="0"/>
        <w:ind w:firstLine="241"/>
        <w:rPr>
          <w:rFonts w:ascii="仿宋_GB2312" w:eastAsia="仿宋_GB2312" w:hAnsi="宋体"/>
          <w:b/>
          <w:kern w:val="0"/>
          <w:sz w:val="24"/>
        </w:rPr>
      </w:pPr>
    </w:p>
    <w:p w:rsidR="008F20FE" w:rsidRPr="009656C7" w:rsidRDefault="008F20FE" w:rsidP="00CC33A6">
      <w:pPr>
        <w:pBdr>
          <w:bottom w:val="single" w:sz="12" w:space="1" w:color="auto"/>
        </w:pBdr>
        <w:adjustRightInd w:val="0"/>
        <w:snapToGrid w:val="0"/>
        <w:ind w:firstLine="241"/>
        <w:rPr>
          <w:rFonts w:ascii="仿宋_GB2312" w:eastAsia="仿宋_GB2312" w:hAnsi="宋体"/>
          <w:b/>
          <w:kern w:val="0"/>
          <w:sz w:val="24"/>
        </w:rPr>
      </w:pPr>
    </w:p>
    <w:p w:rsidR="008F20FE" w:rsidRDefault="008F20FE" w:rsidP="00A750C4">
      <w:pPr>
        <w:adjustRightInd w:val="0"/>
        <w:snapToGrid w:val="0"/>
        <w:spacing w:line="288" w:lineRule="auto"/>
        <w:ind w:firstLineChars="142" w:firstLine="365"/>
        <w:rPr>
          <w:rFonts w:ascii="仿宋_GB2312" w:eastAsia="仿宋_GB2312" w:hAnsi="宋体"/>
          <w:b/>
          <w:kern w:val="0"/>
          <w:sz w:val="24"/>
        </w:rPr>
      </w:pPr>
    </w:p>
    <w:p w:rsidR="008F20FE" w:rsidRDefault="008F20FE" w:rsidP="00A750C4">
      <w:pPr>
        <w:adjustRightInd w:val="0"/>
        <w:snapToGrid w:val="0"/>
        <w:spacing w:line="288" w:lineRule="auto"/>
        <w:ind w:firstLineChars="142" w:firstLine="365"/>
        <w:rPr>
          <w:rFonts w:ascii="仿宋_GB2312" w:eastAsia="仿宋_GB2312" w:hAnsi="宋体"/>
          <w:b/>
          <w:kern w:val="0"/>
          <w:sz w:val="24"/>
        </w:rPr>
      </w:pPr>
    </w:p>
    <w:p w:rsidR="008F20FE" w:rsidRDefault="008F20FE" w:rsidP="00A750C4">
      <w:pPr>
        <w:adjustRightInd w:val="0"/>
        <w:snapToGrid w:val="0"/>
        <w:spacing w:line="288" w:lineRule="auto"/>
        <w:ind w:firstLineChars="142" w:firstLine="365"/>
        <w:rPr>
          <w:rFonts w:ascii="仿宋_GB2312" w:eastAsia="仿宋_GB2312" w:hAnsi="宋体"/>
          <w:b/>
          <w:kern w:val="0"/>
          <w:sz w:val="24"/>
        </w:rPr>
      </w:pPr>
      <w:r w:rsidRPr="009656C7">
        <w:rPr>
          <w:rFonts w:ascii="仿宋_GB2312" w:eastAsia="仿宋_GB2312" w:hAnsi="宋体" w:hint="eastAsia"/>
          <w:b/>
          <w:kern w:val="0"/>
          <w:sz w:val="24"/>
        </w:rPr>
        <w:t>银行经办人（签名）：                 投资者（签名）：</w:t>
      </w:r>
    </w:p>
    <w:p w:rsidR="008F20FE" w:rsidRPr="00A750C4" w:rsidRDefault="008F20FE" w:rsidP="00A750C4">
      <w:pPr>
        <w:adjustRightInd w:val="0"/>
        <w:snapToGrid w:val="0"/>
        <w:spacing w:line="288" w:lineRule="auto"/>
        <w:ind w:firstLineChars="142" w:firstLine="365"/>
        <w:rPr>
          <w:rFonts w:ascii="仿宋_GB2312" w:eastAsia="仿宋_GB2312" w:hAnsi="宋体"/>
          <w:b/>
          <w:kern w:val="0"/>
          <w:sz w:val="24"/>
        </w:rPr>
      </w:pPr>
    </w:p>
    <w:p w:rsidR="008F20FE" w:rsidRPr="009656C7" w:rsidRDefault="008F20FE" w:rsidP="00196F3E">
      <w:pPr>
        <w:adjustRightInd w:val="0"/>
        <w:snapToGrid w:val="0"/>
        <w:spacing w:line="288" w:lineRule="auto"/>
        <w:ind w:firstLine="241"/>
        <w:rPr>
          <w:rFonts w:ascii="仿宋_GB2312" w:eastAsia="仿宋_GB2312"/>
          <w:sz w:val="24"/>
        </w:rPr>
      </w:pPr>
      <w:r w:rsidRPr="009656C7">
        <w:rPr>
          <w:rFonts w:ascii="仿宋_GB2312" w:eastAsia="仿宋_GB2312" w:hint="eastAsia"/>
          <w:b/>
          <w:kern w:val="0"/>
          <w:sz w:val="24"/>
        </w:rPr>
        <w:t xml:space="preserve">                                       日期：  年  月  日</w:t>
      </w:r>
    </w:p>
    <w:sectPr w:rsidR="008F20FE" w:rsidRPr="009656C7" w:rsidSect="008F20FE">
      <w:headerReference w:type="default" r:id="rId8"/>
      <w:footerReference w:type="even" r:id="rId9"/>
      <w:footerReference w:type="default" r:id="rId10"/>
      <w:type w:val="continuous"/>
      <w:pgSz w:w="11906" w:h="16838" w:code="9"/>
      <w:pgMar w:top="1288" w:right="1588" w:bottom="1288" w:left="1644" w:header="1134" w:footer="992" w:gutter="0"/>
      <w:pgNumType w:start="1"/>
      <w:cols w:space="425"/>
      <w:docGrid w:type="linesAndChars" w:linePitch="516" w:charSpace="3247"/>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6499B" w:rsidRDefault="0066499B">
      <w:r>
        <w:separator/>
      </w:r>
    </w:p>
  </w:endnote>
  <w:endnote w:type="continuationSeparator" w:id="1">
    <w:p w:rsidR="0066499B" w:rsidRDefault="0066499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仿宋_GB2312">
    <w:panose1 w:val="02010609030101010101"/>
    <w:charset w:val="86"/>
    <w:family w:val="modern"/>
    <w:pitch w:val="fixed"/>
    <w:sig w:usb0="00000001" w:usb1="080E0000" w:usb2="00000010" w:usb3="00000000" w:csb0="00040000" w:csb1="00000000"/>
  </w:font>
  <w:font w:name="Arial Unicode MS">
    <w:panose1 w:val="020B0604020202020204"/>
    <w:charset w:val="00"/>
    <w:family w:val="roman"/>
    <w:notTrueType/>
    <w:pitch w:val="variable"/>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D5D3B" w:rsidRDefault="00703589" w:rsidP="00724B80">
    <w:pPr>
      <w:pStyle w:val="a3"/>
      <w:framePr w:wrap="around" w:vAnchor="text" w:hAnchor="margin" w:xAlign="center" w:y="1"/>
      <w:rPr>
        <w:rStyle w:val="a4"/>
      </w:rPr>
    </w:pPr>
    <w:r>
      <w:rPr>
        <w:rStyle w:val="a4"/>
      </w:rPr>
      <w:fldChar w:fldCharType="begin"/>
    </w:r>
    <w:r w:rsidR="000D5D3B">
      <w:rPr>
        <w:rStyle w:val="a4"/>
      </w:rPr>
      <w:instrText xml:space="preserve">PAGE  </w:instrText>
    </w:r>
    <w:r>
      <w:rPr>
        <w:rStyle w:val="a4"/>
      </w:rPr>
      <w:fldChar w:fldCharType="separate"/>
    </w:r>
    <w:r w:rsidR="00FD26BF">
      <w:rPr>
        <w:rStyle w:val="a4"/>
        <w:noProof/>
      </w:rPr>
      <w:t>2</w:t>
    </w:r>
    <w:r>
      <w:rPr>
        <w:rStyle w:val="a4"/>
      </w:rPr>
      <w:fldChar w:fldCharType="end"/>
    </w:r>
  </w:p>
  <w:p w:rsidR="000D5D3B" w:rsidRDefault="000D5D3B">
    <w:pPr>
      <w:pStyle w:val="a3"/>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D5D3B" w:rsidRDefault="00703589" w:rsidP="00724B80">
    <w:pPr>
      <w:pStyle w:val="a3"/>
      <w:framePr w:wrap="around" w:vAnchor="text" w:hAnchor="margin" w:xAlign="center" w:y="1"/>
      <w:rPr>
        <w:rStyle w:val="a4"/>
      </w:rPr>
    </w:pPr>
    <w:r>
      <w:rPr>
        <w:rStyle w:val="a4"/>
      </w:rPr>
      <w:fldChar w:fldCharType="begin"/>
    </w:r>
    <w:r w:rsidR="000D5D3B">
      <w:rPr>
        <w:rStyle w:val="a4"/>
      </w:rPr>
      <w:instrText xml:space="preserve">PAGE  </w:instrText>
    </w:r>
    <w:r>
      <w:rPr>
        <w:rStyle w:val="a4"/>
      </w:rPr>
      <w:fldChar w:fldCharType="separate"/>
    </w:r>
    <w:r w:rsidR="0008265C">
      <w:rPr>
        <w:rStyle w:val="a4"/>
        <w:noProof/>
      </w:rPr>
      <w:t>1</w:t>
    </w:r>
    <w:r>
      <w:rPr>
        <w:rStyle w:val="a4"/>
      </w:rPr>
      <w:fldChar w:fldCharType="end"/>
    </w:r>
  </w:p>
  <w:p w:rsidR="000D5D3B" w:rsidRDefault="000D5D3B">
    <w:pPr>
      <w:pStyle w:val="a3"/>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6499B" w:rsidRDefault="0066499B">
      <w:r>
        <w:separator/>
      </w:r>
    </w:p>
  </w:footnote>
  <w:footnote w:type="continuationSeparator" w:id="1">
    <w:p w:rsidR="0066499B" w:rsidRDefault="0066499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46361" w:rsidRDefault="00A46361" w:rsidP="00A46361">
    <w:pPr>
      <w:pStyle w:val="ae"/>
      <w:pBdr>
        <w:bottom w:val="none" w:sz="0" w:space="0" w:color="auto"/>
      </w:pBd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2325C62"/>
    <w:multiLevelType w:val="hybridMultilevel"/>
    <w:tmpl w:val="DD6C0BE8"/>
    <w:lvl w:ilvl="0" w:tplc="0AF6BDA2">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
    <w:nsid w:val="67C41549"/>
    <w:multiLevelType w:val="hybridMultilevel"/>
    <w:tmpl w:val="7D46471C"/>
    <w:lvl w:ilvl="0" w:tplc="085025A4">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oNotTrackMoves/>
  <w:defaultTabStop w:val="420"/>
  <w:drawingGridVerticalSpacing w:val="156"/>
  <w:displayHorizontalDrawingGridEvery w:val="0"/>
  <w:displayVerticalDrawingGridEvery w:val="2"/>
  <w:characterSpacingControl w:val="compressPunctuation"/>
  <w:hdrShapeDefaults>
    <o:shapedefaults v:ext="edit" spidmax="137218"/>
  </w:hdrShapeDefaults>
  <w:footnotePr>
    <w:footnote w:id="0"/>
    <w:footnote w:id="1"/>
  </w:footnotePr>
  <w:endnotePr>
    <w:endnote w:id="0"/>
    <w:endnote w:id="1"/>
  </w:endnotePr>
  <w:compat>
    <w:spaceForUL/>
    <w:balanceSingleByteDoubleByteWidth/>
    <w:doNotLeaveBackslashAlone/>
    <w:ulTrailSpace/>
    <w:doNotExpandShiftReturn/>
    <w:adjustLineHeightInTable/>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24B80"/>
    <w:rsid w:val="00002E0E"/>
    <w:rsid w:val="0000492C"/>
    <w:rsid w:val="00004A3F"/>
    <w:rsid w:val="00006D85"/>
    <w:rsid w:val="0001089C"/>
    <w:rsid w:val="0001750D"/>
    <w:rsid w:val="0002490F"/>
    <w:rsid w:val="0002756C"/>
    <w:rsid w:val="00031CA4"/>
    <w:rsid w:val="00031D63"/>
    <w:rsid w:val="000331B0"/>
    <w:rsid w:val="00037A53"/>
    <w:rsid w:val="00040C99"/>
    <w:rsid w:val="000433A9"/>
    <w:rsid w:val="00045C05"/>
    <w:rsid w:val="00050EF8"/>
    <w:rsid w:val="000524EC"/>
    <w:rsid w:val="0005386A"/>
    <w:rsid w:val="00056041"/>
    <w:rsid w:val="0006088B"/>
    <w:rsid w:val="00061D5B"/>
    <w:rsid w:val="00063510"/>
    <w:rsid w:val="0007422A"/>
    <w:rsid w:val="000745E6"/>
    <w:rsid w:val="00075485"/>
    <w:rsid w:val="00075BC9"/>
    <w:rsid w:val="00077B97"/>
    <w:rsid w:val="00080FAB"/>
    <w:rsid w:val="00081023"/>
    <w:rsid w:val="00081626"/>
    <w:rsid w:val="0008265C"/>
    <w:rsid w:val="00084081"/>
    <w:rsid w:val="00085413"/>
    <w:rsid w:val="00090379"/>
    <w:rsid w:val="00091426"/>
    <w:rsid w:val="000943AE"/>
    <w:rsid w:val="000A0F57"/>
    <w:rsid w:val="000A4552"/>
    <w:rsid w:val="000A5BBA"/>
    <w:rsid w:val="000B3E48"/>
    <w:rsid w:val="000B4E87"/>
    <w:rsid w:val="000B6593"/>
    <w:rsid w:val="000B7975"/>
    <w:rsid w:val="000C024E"/>
    <w:rsid w:val="000C3ED6"/>
    <w:rsid w:val="000D4E57"/>
    <w:rsid w:val="000D5D3B"/>
    <w:rsid w:val="000E3CC0"/>
    <w:rsid w:val="000E6D86"/>
    <w:rsid w:val="000F0398"/>
    <w:rsid w:val="000F29F9"/>
    <w:rsid w:val="000F5317"/>
    <w:rsid w:val="00101A21"/>
    <w:rsid w:val="001028CA"/>
    <w:rsid w:val="00103561"/>
    <w:rsid w:val="00104421"/>
    <w:rsid w:val="00105094"/>
    <w:rsid w:val="0010708C"/>
    <w:rsid w:val="0011084E"/>
    <w:rsid w:val="00110BE2"/>
    <w:rsid w:val="00111A8E"/>
    <w:rsid w:val="001219D3"/>
    <w:rsid w:val="00122302"/>
    <w:rsid w:val="001236CD"/>
    <w:rsid w:val="0012562F"/>
    <w:rsid w:val="00125A46"/>
    <w:rsid w:val="00125C1D"/>
    <w:rsid w:val="0013063F"/>
    <w:rsid w:val="00136FE7"/>
    <w:rsid w:val="0013724E"/>
    <w:rsid w:val="00141BEF"/>
    <w:rsid w:val="001522FC"/>
    <w:rsid w:val="00152F55"/>
    <w:rsid w:val="00154189"/>
    <w:rsid w:val="0015524C"/>
    <w:rsid w:val="0015600D"/>
    <w:rsid w:val="001569DB"/>
    <w:rsid w:val="00164125"/>
    <w:rsid w:val="00171CEE"/>
    <w:rsid w:val="001747D6"/>
    <w:rsid w:val="0017503F"/>
    <w:rsid w:val="00177EC7"/>
    <w:rsid w:val="0018283E"/>
    <w:rsid w:val="0018504F"/>
    <w:rsid w:val="0018526E"/>
    <w:rsid w:val="00190A9D"/>
    <w:rsid w:val="00191CEA"/>
    <w:rsid w:val="00194A2F"/>
    <w:rsid w:val="00194AA9"/>
    <w:rsid w:val="00196F3E"/>
    <w:rsid w:val="001A05EF"/>
    <w:rsid w:val="001A469F"/>
    <w:rsid w:val="001A5ADC"/>
    <w:rsid w:val="001A6E94"/>
    <w:rsid w:val="001A6F92"/>
    <w:rsid w:val="001A73E7"/>
    <w:rsid w:val="001B0805"/>
    <w:rsid w:val="001B0B9F"/>
    <w:rsid w:val="001B6B9C"/>
    <w:rsid w:val="001C680B"/>
    <w:rsid w:val="001D0BF8"/>
    <w:rsid w:val="001D4CE7"/>
    <w:rsid w:val="001D5108"/>
    <w:rsid w:val="001D6AF7"/>
    <w:rsid w:val="001D6B09"/>
    <w:rsid w:val="001E0B2B"/>
    <w:rsid w:val="001E351C"/>
    <w:rsid w:val="001E566D"/>
    <w:rsid w:val="001E5F0C"/>
    <w:rsid w:val="001E60CF"/>
    <w:rsid w:val="001E6C8C"/>
    <w:rsid w:val="001F0FD3"/>
    <w:rsid w:val="001F62A7"/>
    <w:rsid w:val="001F6B43"/>
    <w:rsid w:val="00201A08"/>
    <w:rsid w:val="002055EA"/>
    <w:rsid w:val="002141CE"/>
    <w:rsid w:val="002171DD"/>
    <w:rsid w:val="00220B6A"/>
    <w:rsid w:val="00221DB9"/>
    <w:rsid w:val="00227550"/>
    <w:rsid w:val="00230323"/>
    <w:rsid w:val="002368E9"/>
    <w:rsid w:val="0024048C"/>
    <w:rsid w:val="00240875"/>
    <w:rsid w:val="00242127"/>
    <w:rsid w:val="00250120"/>
    <w:rsid w:val="002514BA"/>
    <w:rsid w:val="00252A0D"/>
    <w:rsid w:val="00252B4B"/>
    <w:rsid w:val="002560C3"/>
    <w:rsid w:val="00256AD1"/>
    <w:rsid w:val="0026066E"/>
    <w:rsid w:val="00260C76"/>
    <w:rsid w:val="00261107"/>
    <w:rsid w:val="002667D1"/>
    <w:rsid w:val="002703A7"/>
    <w:rsid w:val="00280653"/>
    <w:rsid w:val="00280782"/>
    <w:rsid w:val="00284B4B"/>
    <w:rsid w:val="00290D6F"/>
    <w:rsid w:val="00290FFB"/>
    <w:rsid w:val="00293834"/>
    <w:rsid w:val="00294271"/>
    <w:rsid w:val="0029648D"/>
    <w:rsid w:val="002A3396"/>
    <w:rsid w:val="002A45D6"/>
    <w:rsid w:val="002A4743"/>
    <w:rsid w:val="002A622A"/>
    <w:rsid w:val="002B1D62"/>
    <w:rsid w:val="002C13B4"/>
    <w:rsid w:val="002C365B"/>
    <w:rsid w:val="002C698A"/>
    <w:rsid w:val="002D22E0"/>
    <w:rsid w:val="002E0F22"/>
    <w:rsid w:val="002E427B"/>
    <w:rsid w:val="002E4431"/>
    <w:rsid w:val="002E7057"/>
    <w:rsid w:val="002E7C92"/>
    <w:rsid w:val="002F05E3"/>
    <w:rsid w:val="002F1628"/>
    <w:rsid w:val="002F197D"/>
    <w:rsid w:val="002F1BAE"/>
    <w:rsid w:val="002F2021"/>
    <w:rsid w:val="002F2091"/>
    <w:rsid w:val="002F562C"/>
    <w:rsid w:val="00300E99"/>
    <w:rsid w:val="00305CF4"/>
    <w:rsid w:val="00307B8D"/>
    <w:rsid w:val="003102EA"/>
    <w:rsid w:val="00313368"/>
    <w:rsid w:val="003134F9"/>
    <w:rsid w:val="00323148"/>
    <w:rsid w:val="003231D4"/>
    <w:rsid w:val="003234A7"/>
    <w:rsid w:val="00323BCE"/>
    <w:rsid w:val="003249EE"/>
    <w:rsid w:val="00327D5C"/>
    <w:rsid w:val="00330EA6"/>
    <w:rsid w:val="00332226"/>
    <w:rsid w:val="00332A64"/>
    <w:rsid w:val="0033399A"/>
    <w:rsid w:val="00333EE5"/>
    <w:rsid w:val="0033404D"/>
    <w:rsid w:val="003353E8"/>
    <w:rsid w:val="003362A1"/>
    <w:rsid w:val="00336E18"/>
    <w:rsid w:val="0033703D"/>
    <w:rsid w:val="0034163F"/>
    <w:rsid w:val="00341A02"/>
    <w:rsid w:val="00345A12"/>
    <w:rsid w:val="00346A97"/>
    <w:rsid w:val="00346BC9"/>
    <w:rsid w:val="00346D6B"/>
    <w:rsid w:val="00347BAD"/>
    <w:rsid w:val="00347FF2"/>
    <w:rsid w:val="003527BD"/>
    <w:rsid w:val="00353BC5"/>
    <w:rsid w:val="00356AEF"/>
    <w:rsid w:val="00356E80"/>
    <w:rsid w:val="00357C09"/>
    <w:rsid w:val="00361E63"/>
    <w:rsid w:val="00361FAB"/>
    <w:rsid w:val="00362E66"/>
    <w:rsid w:val="00363358"/>
    <w:rsid w:val="003642D9"/>
    <w:rsid w:val="0036490C"/>
    <w:rsid w:val="00364B97"/>
    <w:rsid w:val="0036673C"/>
    <w:rsid w:val="00374C49"/>
    <w:rsid w:val="00377D63"/>
    <w:rsid w:val="003A0725"/>
    <w:rsid w:val="003A2651"/>
    <w:rsid w:val="003A7DBC"/>
    <w:rsid w:val="003A7FD5"/>
    <w:rsid w:val="003B09A2"/>
    <w:rsid w:val="003B2C61"/>
    <w:rsid w:val="003B60B9"/>
    <w:rsid w:val="003D73AD"/>
    <w:rsid w:val="003D75C7"/>
    <w:rsid w:val="003E06C0"/>
    <w:rsid w:val="003E1605"/>
    <w:rsid w:val="003E18A8"/>
    <w:rsid w:val="003E39ED"/>
    <w:rsid w:val="003E4981"/>
    <w:rsid w:val="003E6236"/>
    <w:rsid w:val="003F34E2"/>
    <w:rsid w:val="003F5C7A"/>
    <w:rsid w:val="00401B34"/>
    <w:rsid w:val="0040530C"/>
    <w:rsid w:val="00406F85"/>
    <w:rsid w:val="004134A4"/>
    <w:rsid w:val="00416482"/>
    <w:rsid w:val="004262A3"/>
    <w:rsid w:val="00427F43"/>
    <w:rsid w:val="004304B1"/>
    <w:rsid w:val="0043297F"/>
    <w:rsid w:val="00434D0A"/>
    <w:rsid w:val="00435BFE"/>
    <w:rsid w:val="00440D9B"/>
    <w:rsid w:val="00441C0D"/>
    <w:rsid w:val="004421DA"/>
    <w:rsid w:val="0045122D"/>
    <w:rsid w:val="0045128F"/>
    <w:rsid w:val="00453817"/>
    <w:rsid w:val="00454099"/>
    <w:rsid w:val="00455041"/>
    <w:rsid w:val="004569C0"/>
    <w:rsid w:val="00457160"/>
    <w:rsid w:val="00464D2D"/>
    <w:rsid w:val="00470007"/>
    <w:rsid w:val="00472C87"/>
    <w:rsid w:val="00475A84"/>
    <w:rsid w:val="00486104"/>
    <w:rsid w:val="00490009"/>
    <w:rsid w:val="00494034"/>
    <w:rsid w:val="00495AD9"/>
    <w:rsid w:val="0049712A"/>
    <w:rsid w:val="004A357E"/>
    <w:rsid w:val="004A5B05"/>
    <w:rsid w:val="004B33E1"/>
    <w:rsid w:val="004B66A2"/>
    <w:rsid w:val="004C6FDA"/>
    <w:rsid w:val="004D0F61"/>
    <w:rsid w:val="004D32D0"/>
    <w:rsid w:val="004D3838"/>
    <w:rsid w:val="004D634C"/>
    <w:rsid w:val="004D66BD"/>
    <w:rsid w:val="004D6792"/>
    <w:rsid w:val="004E0DAD"/>
    <w:rsid w:val="004E3C48"/>
    <w:rsid w:val="004E4F8D"/>
    <w:rsid w:val="004E60F1"/>
    <w:rsid w:val="004F27CD"/>
    <w:rsid w:val="004F589F"/>
    <w:rsid w:val="004F68C3"/>
    <w:rsid w:val="00512CB2"/>
    <w:rsid w:val="00512EF3"/>
    <w:rsid w:val="005138C8"/>
    <w:rsid w:val="005166A4"/>
    <w:rsid w:val="00521253"/>
    <w:rsid w:val="00524343"/>
    <w:rsid w:val="00524EBF"/>
    <w:rsid w:val="00526AD6"/>
    <w:rsid w:val="005313EC"/>
    <w:rsid w:val="00532669"/>
    <w:rsid w:val="00532AD8"/>
    <w:rsid w:val="0053717D"/>
    <w:rsid w:val="00540F67"/>
    <w:rsid w:val="005436BC"/>
    <w:rsid w:val="00546C80"/>
    <w:rsid w:val="00551B0B"/>
    <w:rsid w:val="00556AAC"/>
    <w:rsid w:val="00561275"/>
    <w:rsid w:val="00563458"/>
    <w:rsid w:val="0056560E"/>
    <w:rsid w:val="005712EB"/>
    <w:rsid w:val="00572045"/>
    <w:rsid w:val="00572805"/>
    <w:rsid w:val="00573533"/>
    <w:rsid w:val="00573EA1"/>
    <w:rsid w:val="00575D2D"/>
    <w:rsid w:val="005778D8"/>
    <w:rsid w:val="005815BC"/>
    <w:rsid w:val="005836D8"/>
    <w:rsid w:val="00584D11"/>
    <w:rsid w:val="00595243"/>
    <w:rsid w:val="00597793"/>
    <w:rsid w:val="005A1765"/>
    <w:rsid w:val="005B500C"/>
    <w:rsid w:val="005B6B46"/>
    <w:rsid w:val="005B7506"/>
    <w:rsid w:val="005C44B0"/>
    <w:rsid w:val="005C4FBD"/>
    <w:rsid w:val="005C63C5"/>
    <w:rsid w:val="005C6798"/>
    <w:rsid w:val="005C689F"/>
    <w:rsid w:val="005C68D0"/>
    <w:rsid w:val="005C781D"/>
    <w:rsid w:val="005C7F19"/>
    <w:rsid w:val="005D2AA4"/>
    <w:rsid w:val="005D3B25"/>
    <w:rsid w:val="005E10D7"/>
    <w:rsid w:val="005E6E61"/>
    <w:rsid w:val="005E7408"/>
    <w:rsid w:val="005F3AB2"/>
    <w:rsid w:val="005F3C0F"/>
    <w:rsid w:val="005F55A2"/>
    <w:rsid w:val="005F5F1B"/>
    <w:rsid w:val="006011D7"/>
    <w:rsid w:val="006034CE"/>
    <w:rsid w:val="00605F5A"/>
    <w:rsid w:val="0060699D"/>
    <w:rsid w:val="006126CC"/>
    <w:rsid w:val="006127E3"/>
    <w:rsid w:val="00613F29"/>
    <w:rsid w:val="00614BB3"/>
    <w:rsid w:val="00615CF4"/>
    <w:rsid w:val="0062074B"/>
    <w:rsid w:val="00623B7E"/>
    <w:rsid w:val="00624B43"/>
    <w:rsid w:val="00631BC2"/>
    <w:rsid w:val="00635998"/>
    <w:rsid w:val="00640B39"/>
    <w:rsid w:val="006438C4"/>
    <w:rsid w:val="0065015A"/>
    <w:rsid w:val="00651AED"/>
    <w:rsid w:val="00653316"/>
    <w:rsid w:val="00654233"/>
    <w:rsid w:val="00657F22"/>
    <w:rsid w:val="00661827"/>
    <w:rsid w:val="00663C32"/>
    <w:rsid w:val="006647E5"/>
    <w:rsid w:val="0066499B"/>
    <w:rsid w:val="00670131"/>
    <w:rsid w:val="0067056E"/>
    <w:rsid w:val="006744A4"/>
    <w:rsid w:val="006775A2"/>
    <w:rsid w:val="00683D5B"/>
    <w:rsid w:val="00684A9F"/>
    <w:rsid w:val="00690117"/>
    <w:rsid w:val="006902F4"/>
    <w:rsid w:val="006918FB"/>
    <w:rsid w:val="00692F17"/>
    <w:rsid w:val="00696F6B"/>
    <w:rsid w:val="006A04DB"/>
    <w:rsid w:val="006A1AF6"/>
    <w:rsid w:val="006A1B27"/>
    <w:rsid w:val="006A6CA2"/>
    <w:rsid w:val="006B4701"/>
    <w:rsid w:val="006C2C11"/>
    <w:rsid w:val="006C47F1"/>
    <w:rsid w:val="006C6014"/>
    <w:rsid w:val="006C6257"/>
    <w:rsid w:val="006D1352"/>
    <w:rsid w:val="006D7FC3"/>
    <w:rsid w:val="006E39E2"/>
    <w:rsid w:val="006E7513"/>
    <w:rsid w:val="006F4A34"/>
    <w:rsid w:val="0070168F"/>
    <w:rsid w:val="00701F40"/>
    <w:rsid w:val="00703589"/>
    <w:rsid w:val="007073EA"/>
    <w:rsid w:val="0071076F"/>
    <w:rsid w:val="00712331"/>
    <w:rsid w:val="00713F12"/>
    <w:rsid w:val="00714D53"/>
    <w:rsid w:val="00717B24"/>
    <w:rsid w:val="00717C69"/>
    <w:rsid w:val="007203E2"/>
    <w:rsid w:val="00721668"/>
    <w:rsid w:val="00724B80"/>
    <w:rsid w:val="00727BA7"/>
    <w:rsid w:val="00733FE3"/>
    <w:rsid w:val="00736A02"/>
    <w:rsid w:val="00740A4B"/>
    <w:rsid w:val="00740CA7"/>
    <w:rsid w:val="007426CE"/>
    <w:rsid w:val="007438B6"/>
    <w:rsid w:val="007468C9"/>
    <w:rsid w:val="007469BA"/>
    <w:rsid w:val="00747113"/>
    <w:rsid w:val="00747459"/>
    <w:rsid w:val="00750543"/>
    <w:rsid w:val="00757700"/>
    <w:rsid w:val="00760F8E"/>
    <w:rsid w:val="00762354"/>
    <w:rsid w:val="00766370"/>
    <w:rsid w:val="007663C0"/>
    <w:rsid w:val="0076704A"/>
    <w:rsid w:val="007702F7"/>
    <w:rsid w:val="0077191D"/>
    <w:rsid w:val="007730A0"/>
    <w:rsid w:val="00773410"/>
    <w:rsid w:val="00775A0E"/>
    <w:rsid w:val="00782C68"/>
    <w:rsid w:val="00783B9E"/>
    <w:rsid w:val="00783BFB"/>
    <w:rsid w:val="0079079C"/>
    <w:rsid w:val="0079203E"/>
    <w:rsid w:val="00796CD0"/>
    <w:rsid w:val="007A0542"/>
    <w:rsid w:val="007A0F10"/>
    <w:rsid w:val="007A2A35"/>
    <w:rsid w:val="007A3F08"/>
    <w:rsid w:val="007B09DA"/>
    <w:rsid w:val="007B177B"/>
    <w:rsid w:val="007B2B76"/>
    <w:rsid w:val="007B53CF"/>
    <w:rsid w:val="007B62FD"/>
    <w:rsid w:val="007B6BF9"/>
    <w:rsid w:val="007B7845"/>
    <w:rsid w:val="007C1ECE"/>
    <w:rsid w:val="007D5024"/>
    <w:rsid w:val="007D5F75"/>
    <w:rsid w:val="007D62EC"/>
    <w:rsid w:val="007E0078"/>
    <w:rsid w:val="007E0B67"/>
    <w:rsid w:val="007E1866"/>
    <w:rsid w:val="007E2EDA"/>
    <w:rsid w:val="007E5623"/>
    <w:rsid w:val="007F0502"/>
    <w:rsid w:val="007F08B4"/>
    <w:rsid w:val="007F1C57"/>
    <w:rsid w:val="007F338E"/>
    <w:rsid w:val="007F3C85"/>
    <w:rsid w:val="007F4C9F"/>
    <w:rsid w:val="00800D73"/>
    <w:rsid w:val="00803F81"/>
    <w:rsid w:val="008063B9"/>
    <w:rsid w:val="00807C77"/>
    <w:rsid w:val="008155FC"/>
    <w:rsid w:val="0081604B"/>
    <w:rsid w:val="00820A43"/>
    <w:rsid w:val="008319E9"/>
    <w:rsid w:val="00833107"/>
    <w:rsid w:val="00833DC3"/>
    <w:rsid w:val="00835237"/>
    <w:rsid w:val="00840048"/>
    <w:rsid w:val="00841B1A"/>
    <w:rsid w:val="00843DEF"/>
    <w:rsid w:val="00843FC9"/>
    <w:rsid w:val="0085381F"/>
    <w:rsid w:val="00855470"/>
    <w:rsid w:val="0086254A"/>
    <w:rsid w:val="00864A78"/>
    <w:rsid w:val="008657B6"/>
    <w:rsid w:val="00867DA0"/>
    <w:rsid w:val="00871A0B"/>
    <w:rsid w:val="00872277"/>
    <w:rsid w:val="00873E6E"/>
    <w:rsid w:val="00877015"/>
    <w:rsid w:val="008774A9"/>
    <w:rsid w:val="00877EE9"/>
    <w:rsid w:val="0088272E"/>
    <w:rsid w:val="00884F13"/>
    <w:rsid w:val="008910BE"/>
    <w:rsid w:val="00893D4B"/>
    <w:rsid w:val="00897F52"/>
    <w:rsid w:val="008A2951"/>
    <w:rsid w:val="008A5D35"/>
    <w:rsid w:val="008A717D"/>
    <w:rsid w:val="008B02E5"/>
    <w:rsid w:val="008B4B84"/>
    <w:rsid w:val="008D09D3"/>
    <w:rsid w:val="008D2D07"/>
    <w:rsid w:val="008D2DBD"/>
    <w:rsid w:val="008D410D"/>
    <w:rsid w:val="008E133C"/>
    <w:rsid w:val="008E2315"/>
    <w:rsid w:val="008E7962"/>
    <w:rsid w:val="008F20FE"/>
    <w:rsid w:val="008F28C1"/>
    <w:rsid w:val="008F2A01"/>
    <w:rsid w:val="0090226F"/>
    <w:rsid w:val="009074A3"/>
    <w:rsid w:val="00907D1C"/>
    <w:rsid w:val="00915694"/>
    <w:rsid w:val="00920D1B"/>
    <w:rsid w:val="00920F50"/>
    <w:rsid w:val="00925E32"/>
    <w:rsid w:val="00930D56"/>
    <w:rsid w:val="00932EFB"/>
    <w:rsid w:val="00944E0A"/>
    <w:rsid w:val="00945023"/>
    <w:rsid w:val="00946A38"/>
    <w:rsid w:val="00950EB1"/>
    <w:rsid w:val="009656C7"/>
    <w:rsid w:val="00972BA1"/>
    <w:rsid w:val="009730D1"/>
    <w:rsid w:val="009733E1"/>
    <w:rsid w:val="00974372"/>
    <w:rsid w:val="00974833"/>
    <w:rsid w:val="00975439"/>
    <w:rsid w:val="0097554E"/>
    <w:rsid w:val="009851D4"/>
    <w:rsid w:val="00986FAC"/>
    <w:rsid w:val="0098703B"/>
    <w:rsid w:val="0099122C"/>
    <w:rsid w:val="0099457F"/>
    <w:rsid w:val="00997C6C"/>
    <w:rsid w:val="009A03B4"/>
    <w:rsid w:val="009A0538"/>
    <w:rsid w:val="009A28AF"/>
    <w:rsid w:val="009A4806"/>
    <w:rsid w:val="009A4F3D"/>
    <w:rsid w:val="009A6562"/>
    <w:rsid w:val="009A76CF"/>
    <w:rsid w:val="009B1103"/>
    <w:rsid w:val="009B2D96"/>
    <w:rsid w:val="009B304F"/>
    <w:rsid w:val="009B3266"/>
    <w:rsid w:val="009B4C34"/>
    <w:rsid w:val="009B615E"/>
    <w:rsid w:val="009C006A"/>
    <w:rsid w:val="009C18C1"/>
    <w:rsid w:val="009C24BD"/>
    <w:rsid w:val="009C3232"/>
    <w:rsid w:val="009C3B70"/>
    <w:rsid w:val="009C4F83"/>
    <w:rsid w:val="009C63E3"/>
    <w:rsid w:val="009C6748"/>
    <w:rsid w:val="009D124C"/>
    <w:rsid w:val="009D3F0C"/>
    <w:rsid w:val="009D6C5A"/>
    <w:rsid w:val="009E4501"/>
    <w:rsid w:val="009E550C"/>
    <w:rsid w:val="009E75AD"/>
    <w:rsid w:val="009E7BDB"/>
    <w:rsid w:val="009F4FFE"/>
    <w:rsid w:val="009F6207"/>
    <w:rsid w:val="00A03AC7"/>
    <w:rsid w:val="00A05306"/>
    <w:rsid w:val="00A05B80"/>
    <w:rsid w:val="00A06678"/>
    <w:rsid w:val="00A11C56"/>
    <w:rsid w:val="00A1211B"/>
    <w:rsid w:val="00A229A4"/>
    <w:rsid w:val="00A307AC"/>
    <w:rsid w:val="00A34258"/>
    <w:rsid w:val="00A3501B"/>
    <w:rsid w:val="00A3640B"/>
    <w:rsid w:val="00A37D4D"/>
    <w:rsid w:val="00A40ADE"/>
    <w:rsid w:val="00A43267"/>
    <w:rsid w:val="00A4382D"/>
    <w:rsid w:val="00A44B5D"/>
    <w:rsid w:val="00A450D7"/>
    <w:rsid w:val="00A46361"/>
    <w:rsid w:val="00A47061"/>
    <w:rsid w:val="00A52DEA"/>
    <w:rsid w:val="00A54387"/>
    <w:rsid w:val="00A610B4"/>
    <w:rsid w:val="00A633F5"/>
    <w:rsid w:val="00A64882"/>
    <w:rsid w:val="00A72F9A"/>
    <w:rsid w:val="00A73C34"/>
    <w:rsid w:val="00A73C94"/>
    <w:rsid w:val="00A750C4"/>
    <w:rsid w:val="00A76EBC"/>
    <w:rsid w:val="00A7704C"/>
    <w:rsid w:val="00A775F0"/>
    <w:rsid w:val="00A82C1B"/>
    <w:rsid w:val="00A84129"/>
    <w:rsid w:val="00A84E33"/>
    <w:rsid w:val="00A90EEB"/>
    <w:rsid w:val="00A937DA"/>
    <w:rsid w:val="00A95AAC"/>
    <w:rsid w:val="00AA150B"/>
    <w:rsid w:val="00AA2428"/>
    <w:rsid w:val="00AA7CB9"/>
    <w:rsid w:val="00AB272D"/>
    <w:rsid w:val="00AB31C8"/>
    <w:rsid w:val="00AB520D"/>
    <w:rsid w:val="00AB7508"/>
    <w:rsid w:val="00AC4676"/>
    <w:rsid w:val="00AD5E3C"/>
    <w:rsid w:val="00AD6029"/>
    <w:rsid w:val="00AD6897"/>
    <w:rsid w:val="00AD6C69"/>
    <w:rsid w:val="00AD7440"/>
    <w:rsid w:val="00AE5F51"/>
    <w:rsid w:val="00AE67C4"/>
    <w:rsid w:val="00AF67C8"/>
    <w:rsid w:val="00B0397B"/>
    <w:rsid w:val="00B03A7B"/>
    <w:rsid w:val="00B1647E"/>
    <w:rsid w:val="00B21A62"/>
    <w:rsid w:val="00B22273"/>
    <w:rsid w:val="00B24B69"/>
    <w:rsid w:val="00B25470"/>
    <w:rsid w:val="00B27E23"/>
    <w:rsid w:val="00B3636A"/>
    <w:rsid w:val="00B40D9E"/>
    <w:rsid w:val="00B41E97"/>
    <w:rsid w:val="00B440FA"/>
    <w:rsid w:val="00B448FF"/>
    <w:rsid w:val="00B44967"/>
    <w:rsid w:val="00B45621"/>
    <w:rsid w:val="00B45C5D"/>
    <w:rsid w:val="00B51F27"/>
    <w:rsid w:val="00B61C27"/>
    <w:rsid w:val="00B62D11"/>
    <w:rsid w:val="00B63067"/>
    <w:rsid w:val="00B63E80"/>
    <w:rsid w:val="00B655CA"/>
    <w:rsid w:val="00B67EA0"/>
    <w:rsid w:val="00B7589B"/>
    <w:rsid w:val="00B75F87"/>
    <w:rsid w:val="00B84073"/>
    <w:rsid w:val="00B877F6"/>
    <w:rsid w:val="00B87956"/>
    <w:rsid w:val="00B906AB"/>
    <w:rsid w:val="00B91F40"/>
    <w:rsid w:val="00B94B2B"/>
    <w:rsid w:val="00B96417"/>
    <w:rsid w:val="00BA3EEC"/>
    <w:rsid w:val="00BA53A6"/>
    <w:rsid w:val="00BB20D3"/>
    <w:rsid w:val="00BB3F50"/>
    <w:rsid w:val="00BB710B"/>
    <w:rsid w:val="00BC22D0"/>
    <w:rsid w:val="00BC571A"/>
    <w:rsid w:val="00BC6AAB"/>
    <w:rsid w:val="00BD1ABD"/>
    <w:rsid w:val="00BD237B"/>
    <w:rsid w:val="00BD3AD3"/>
    <w:rsid w:val="00BD59C2"/>
    <w:rsid w:val="00BE08D2"/>
    <w:rsid w:val="00BE5E2C"/>
    <w:rsid w:val="00BE5EF7"/>
    <w:rsid w:val="00BF27EA"/>
    <w:rsid w:val="00BF36FF"/>
    <w:rsid w:val="00BF4187"/>
    <w:rsid w:val="00BF4B35"/>
    <w:rsid w:val="00BF6F0A"/>
    <w:rsid w:val="00C00944"/>
    <w:rsid w:val="00C01458"/>
    <w:rsid w:val="00C0386D"/>
    <w:rsid w:val="00C0736B"/>
    <w:rsid w:val="00C07A5E"/>
    <w:rsid w:val="00C10A75"/>
    <w:rsid w:val="00C179C0"/>
    <w:rsid w:val="00C17D75"/>
    <w:rsid w:val="00C31011"/>
    <w:rsid w:val="00C3151E"/>
    <w:rsid w:val="00C32346"/>
    <w:rsid w:val="00C32A83"/>
    <w:rsid w:val="00C33D52"/>
    <w:rsid w:val="00C349F3"/>
    <w:rsid w:val="00C34F3A"/>
    <w:rsid w:val="00C369EC"/>
    <w:rsid w:val="00C42F9B"/>
    <w:rsid w:val="00C44173"/>
    <w:rsid w:val="00C467FD"/>
    <w:rsid w:val="00C47F6D"/>
    <w:rsid w:val="00C50B23"/>
    <w:rsid w:val="00C54AC9"/>
    <w:rsid w:val="00C54CEE"/>
    <w:rsid w:val="00C63752"/>
    <w:rsid w:val="00C6661B"/>
    <w:rsid w:val="00C6700E"/>
    <w:rsid w:val="00C70EE3"/>
    <w:rsid w:val="00C74328"/>
    <w:rsid w:val="00C748D0"/>
    <w:rsid w:val="00C7571F"/>
    <w:rsid w:val="00C75FE9"/>
    <w:rsid w:val="00C778DF"/>
    <w:rsid w:val="00C828A2"/>
    <w:rsid w:val="00C868F9"/>
    <w:rsid w:val="00C92205"/>
    <w:rsid w:val="00C92D12"/>
    <w:rsid w:val="00C94AE7"/>
    <w:rsid w:val="00C96212"/>
    <w:rsid w:val="00CA7499"/>
    <w:rsid w:val="00CB2541"/>
    <w:rsid w:val="00CC33A6"/>
    <w:rsid w:val="00CC47CD"/>
    <w:rsid w:val="00CC4FA0"/>
    <w:rsid w:val="00CC7AEE"/>
    <w:rsid w:val="00CD36EE"/>
    <w:rsid w:val="00CD6962"/>
    <w:rsid w:val="00CE037A"/>
    <w:rsid w:val="00CE4390"/>
    <w:rsid w:val="00CE4DC8"/>
    <w:rsid w:val="00CE7FB0"/>
    <w:rsid w:val="00CF25B9"/>
    <w:rsid w:val="00CF3299"/>
    <w:rsid w:val="00CF76DB"/>
    <w:rsid w:val="00CF7F35"/>
    <w:rsid w:val="00D03D3A"/>
    <w:rsid w:val="00D0408E"/>
    <w:rsid w:val="00D1017B"/>
    <w:rsid w:val="00D11E21"/>
    <w:rsid w:val="00D17DD6"/>
    <w:rsid w:val="00D2137F"/>
    <w:rsid w:val="00D22151"/>
    <w:rsid w:val="00D24613"/>
    <w:rsid w:val="00D332C7"/>
    <w:rsid w:val="00D333C7"/>
    <w:rsid w:val="00D3776D"/>
    <w:rsid w:val="00D44A7A"/>
    <w:rsid w:val="00D47508"/>
    <w:rsid w:val="00D47C34"/>
    <w:rsid w:val="00D47DFC"/>
    <w:rsid w:val="00D50F5A"/>
    <w:rsid w:val="00D51824"/>
    <w:rsid w:val="00D52761"/>
    <w:rsid w:val="00D5345B"/>
    <w:rsid w:val="00D53C7F"/>
    <w:rsid w:val="00D55E8D"/>
    <w:rsid w:val="00D62BDB"/>
    <w:rsid w:val="00D62D45"/>
    <w:rsid w:val="00D74095"/>
    <w:rsid w:val="00D75B47"/>
    <w:rsid w:val="00D805BA"/>
    <w:rsid w:val="00D811D2"/>
    <w:rsid w:val="00D81308"/>
    <w:rsid w:val="00D82759"/>
    <w:rsid w:val="00D82EE4"/>
    <w:rsid w:val="00D83AC9"/>
    <w:rsid w:val="00D86225"/>
    <w:rsid w:val="00D875E3"/>
    <w:rsid w:val="00D91DE5"/>
    <w:rsid w:val="00D9356C"/>
    <w:rsid w:val="00DA0896"/>
    <w:rsid w:val="00DA2D4C"/>
    <w:rsid w:val="00DA3BF7"/>
    <w:rsid w:val="00DA3F3F"/>
    <w:rsid w:val="00DA4F0A"/>
    <w:rsid w:val="00DA4FEF"/>
    <w:rsid w:val="00DA699A"/>
    <w:rsid w:val="00DB31AA"/>
    <w:rsid w:val="00DB38B2"/>
    <w:rsid w:val="00DB40B1"/>
    <w:rsid w:val="00DC2EB2"/>
    <w:rsid w:val="00DC3667"/>
    <w:rsid w:val="00DD1A15"/>
    <w:rsid w:val="00DD73B6"/>
    <w:rsid w:val="00DE06D8"/>
    <w:rsid w:val="00DE0A79"/>
    <w:rsid w:val="00DE4C0F"/>
    <w:rsid w:val="00DE6315"/>
    <w:rsid w:val="00DE7C6E"/>
    <w:rsid w:val="00DF36E7"/>
    <w:rsid w:val="00DF5D2E"/>
    <w:rsid w:val="00DF5E18"/>
    <w:rsid w:val="00DF6179"/>
    <w:rsid w:val="00DF7948"/>
    <w:rsid w:val="00E00C31"/>
    <w:rsid w:val="00E05073"/>
    <w:rsid w:val="00E12452"/>
    <w:rsid w:val="00E223CB"/>
    <w:rsid w:val="00E23135"/>
    <w:rsid w:val="00E238CB"/>
    <w:rsid w:val="00E23DB2"/>
    <w:rsid w:val="00E31662"/>
    <w:rsid w:val="00E32F7C"/>
    <w:rsid w:val="00E35156"/>
    <w:rsid w:val="00E41C64"/>
    <w:rsid w:val="00E42B9F"/>
    <w:rsid w:val="00E43A5F"/>
    <w:rsid w:val="00E5658E"/>
    <w:rsid w:val="00E627E2"/>
    <w:rsid w:val="00E62DDA"/>
    <w:rsid w:val="00E65E2E"/>
    <w:rsid w:val="00E661B6"/>
    <w:rsid w:val="00E7166A"/>
    <w:rsid w:val="00E725DF"/>
    <w:rsid w:val="00E72614"/>
    <w:rsid w:val="00E73242"/>
    <w:rsid w:val="00E7703C"/>
    <w:rsid w:val="00E77D31"/>
    <w:rsid w:val="00E813F8"/>
    <w:rsid w:val="00E81CA0"/>
    <w:rsid w:val="00E857E4"/>
    <w:rsid w:val="00E86AA3"/>
    <w:rsid w:val="00E97582"/>
    <w:rsid w:val="00EA07F0"/>
    <w:rsid w:val="00EA0E2D"/>
    <w:rsid w:val="00EA29A6"/>
    <w:rsid w:val="00EA5356"/>
    <w:rsid w:val="00EA5880"/>
    <w:rsid w:val="00EA6870"/>
    <w:rsid w:val="00EB26B7"/>
    <w:rsid w:val="00EB3B90"/>
    <w:rsid w:val="00EB575E"/>
    <w:rsid w:val="00EB6B47"/>
    <w:rsid w:val="00EC272D"/>
    <w:rsid w:val="00EC2A84"/>
    <w:rsid w:val="00EC36B7"/>
    <w:rsid w:val="00EC54D6"/>
    <w:rsid w:val="00EC6695"/>
    <w:rsid w:val="00ED3AAF"/>
    <w:rsid w:val="00ED494B"/>
    <w:rsid w:val="00ED5888"/>
    <w:rsid w:val="00EE1179"/>
    <w:rsid w:val="00EE13F7"/>
    <w:rsid w:val="00EF163F"/>
    <w:rsid w:val="00EF1DCA"/>
    <w:rsid w:val="00EF3804"/>
    <w:rsid w:val="00EF4E2A"/>
    <w:rsid w:val="00F00EFC"/>
    <w:rsid w:val="00F04E15"/>
    <w:rsid w:val="00F056D2"/>
    <w:rsid w:val="00F06A8C"/>
    <w:rsid w:val="00F17FF0"/>
    <w:rsid w:val="00F24DD0"/>
    <w:rsid w:val="00F25B58"/>
    <w:rsid w:val="00F25E09"/>
    <w:rsid w:val="00F327BC"/>
    <w:rsid w:val="00F335A1"/>
    <w:rsid w:val="00F436EC"/>
    <w:rsid w:val="00F43EE8"/>
    <w:rsid w:val="00F44231"/>
    <w:rsid w:val="00F45CE8"/>
    <w:rsid w:val="00F54BE0"/>
    <w:rsid w:val="00F61F97"/>
    <w:rsid w:val="00F62E33"/>
    <w:rsid w:val="00F651C1"/>
    <w:rsid w:val="00F65335"/>
    <w:rsid w:val="00F71075"/>
    <w:rsid w:val="00F75643"/>
    <w:rsid w:val="00F76851"/>
    <w:rsid w:val="00F7782F"/>
    <w:rsid w:val="00F90D44"/>
    <w:rsid w:val="00F952E2"/>
    <w:rsid w:val="00F9598F"/>
    <w:rsid w:val="00FA073F"/>
    <w:rsid w:val="00FA0882"/>
    <w:rsid w:val="00FA1757"/>
    <w:rsid w:val="00FA618C"/>
    <w:rsid w:val="00FB366E"/>
    <w:rsid w:val="00FB60D0"/>
    <w:rsid w:val="00FB60EB"/>
    <w:rsid w:val="00FC7ECE"/>
    <w:rsid w:val="00FD1DB4"/>
    <w:rsid w:val="00FD26BF"/>
    <w:rsid w:val="00FD46FA"/>
    <w:rsid w:val="00FD4C8D"/>
    <w:rsid w:val="00FE010B"/>
    <w:rsid w:val="00FE1121"/>
    <w:rsid w:val="00FE3AC7"/>
    <w:rsid w:val="00FE41A9"/>
    <w:rsid w:val="00FE641A"/>
    <w:rsid w:val="00FF08F2"/>
    <w:rsid w:val="00FF22C3"/>
    <w:rsid w:val="00FF4990"/>
    <w:rsid w:val="00FF5FD7"/>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37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357C09"/>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rsid w:val="00724B80"/>
    <w:pPr>
      <w:tabs>
        <w:tab w:val="center" w:pos="4153"/>
        <w:tab w:val="right" w:pos="8306"/>
      </w:tabs>
      <w:snapToGrid w:val="0"/>
      <w:jc w:val="left"/>
    </w:pPr>
    <w:rPr>
      <w:rFonts w:eastAsia="仿宋_GB2312"/>
      <w:sz w:val="18"/>
      <w:szCs w:val="20"/>
    </w:rPr>
  </w:style>
  <w:style w:type="character" w:styleId="a4">
    <w:name w:val="page number"/>
    <w:basedOn w:val="a0"/>
    <w:rsid w:val="00724B80"/>
  </w:style>
  <w:style w:type="paragraph" w:styleId="a5">
    <w:name w:val="Body Text Indent"/>
    <w:basedOn w:val="a"/>
    <w:rsid w:val="00724B80"/>
    <w:pPr>
      <w:spacing w:line="800" w:lineRule="exact"/>
      <w:ind w:firstLine="600"/>
    </w:pPr>
    <w:rPr>
      <w:rFonts w:ascii="仿宋_GB2312" w:eastAsia="仿宋_GB2312"/>
      <w:sz w:val="30"/>
      <w:szCs w:val="20"/>
    </w:rPr>
  </w:style>
  <w:style w:type="paragraph" w:customStyle="1" w:styleId="Char">
    <w:name w:val="Char"/>
    <w:basedOn w:val="a"/>
    <w:rsid w:val="005B6B46"/>
  </w:style>
  <w:style w:type="paragraph" w:styleId="a6">
    <w:name w:val="Body Text"/>
    <w:basedOn w:val="a"/>
    <w:rsid w:val="00DB31AA"/>
    <w:pPr>
      <w:spacing w:after="120"/>
    </w:pPr>
  </w:style>
  <w:style w:type="paragraph" w:styleId="2">
    <w:name w:val="Body Text Indent 2"/>
    <w:basedOn w:val="a"/>
    <w:rsid w:val="00DB31AA"/>
    <w:pPr>
      <w:spacing w:after="120" w:line="480" w:lineRule="auto"/>
      <w:ind w:leftChars="200" w:left="420"/>
    </w:pPr>
  </w:style>
  <w:style w:type="paragraph" w:styleId="3">
    <w:name w:val="Body Text Indent 3"/>
    <w:basedOn w:val="a"/>
    <w:rsid w:val="00DB31AA"/>
    <w:pPr>
      <w:spacing w:after="120"/>
      <w:ind w:leftChars="200" w:left="420"/>
    </w:pPr>
    <w:rPr>
      <w:sz w:val="16"/>
      <w:szCs w:val="16"/>
    </w:rPr>
  </w:style>
  <w:style w:type="paragraph" w:styleId="a7">
    <w:name w:val="Normal (Web)"/>
    <w:basedOn w:val="a"/>
    <w:rsid w:val="00DB31AA"/>
    <w:pPr>
      <w:widowControl/>
      <w:spacing w:before="100" w:beforeAutospacing="1" w:after="100" w:afterAutospacing="1"/>
      <w:jc w:val="left"/>
    </w:pPr>
    <w:rPr>
      <w:rFonts w:ascii="Arial Unicode MS" w:eastAsia="Arial Unicode MS" w:hAnsi="Arial Unicode MS" w:cs="Arial Unicode MS"/>
      <w:kern w:val="0"/>
      <w:sz w:val="24"/>
    </w:rPr>
  </w:style>
  <w:style w:type="paragraph" w:styleId="a8">
    <w:name w:val="Date"/>
    <w:basedOn w:val="a"/>
    <w:next w:val="a"/>
    <w:rsid w:val="00CF76DB"/>
    <w:rPr>
      <w:rFonts w:eastAsia="仿宋_GB2312"/>
      <w:sz w:val="30"/>
      <w:szCs w:val="20"/>
    </w:rPr>
  </w:style>
  <w:style w:type="character" w:styleId="a9">
    <w:name w:val="Hyperlink"/>
    <w:basedOn w:val="a0"/>
    <w:rsid w:val="002C698A"/>
    <w:rPr>
      <w:color w:val="0000FF"/>
      <w:u w:val="single"/>
    </w:rPr>
  </w:style>
  <w:style w:type="character" w:styleId="aa">
    <w:name w:val="Strong"/>
    <w:basedOn w:val="a0"/>
    <w:qFormat/>
    <w:rsid w:val="002C698A"/>
    <w:rPr>
      <w:b/>
      <w:bCs/>
    </w:rPr>
  </w:style>
  <w:style w:type="character" w:customStyle="1" w:styleId="corporatetitle1">
    <w:name w:val="corporatetitle1"/>
    <w:basedOn w:val="a0"/>
    <w:rsid w:val="002C698A"/>
    <w:rPr>
      <w:b/>
      <w:bCs/>
      <w:color w:val="CC0000"/>
      <w:spacing w:val="375"/>
      <w:sz w:val="22"/>
      <w:szCs w:val="22"/>
    </w:rPr>
  </w:style>
  <w:style w:type="character" w:styleId="ab">
    <w:name w:val="annotation reference"/>
    <w:basedOn w:val="a0"/>
    <w:semiHidden/>
    <w:rsid w:val="00DE6315"/>
    <w:rPr>
      <w:sz w:val="21"/>
      <w:szCs w:val="21"/>
    </w:rPr>
  </w:style>
  <w:style w:type="paragraph" w:styleId="ac">
    <w:name w:val="annotation text"/>
    <w:basedOn w:val="a"/>
    <w:semiHidden/>
    <w:rsid w:val="00DE6315"/>
    <w:pPr>
      <w:jc w:val="left"/>
    </w:pPr>
  </w:style>
  <w:style w:type="paragraph" w:styleId="ad">
    <w:name w:val="Balloon Text"/>
    <w:basedOn w:val="a"/>
    <w:semiHidden/>
    <w:rsid w:val="00DE6315"/>
    <w:rPr>
      <w:sz w:val="18"/>
      <w:szCs w:val="18"/>
    </w:rPr>
  </w:style>
  <w:style w:type="paragraph" w:styleId="ae">
    <w:name w:val="header"/>
    <w:basedOn w:val="a"/>
    <w:link w:val="Char0"/>
    <w:rsid w:val="008657B6"/>
    <w:pPr>
      <w:pBdr>
        <w:bottom w:val="single" w:sz="6" w:space="1" w:color="auto"/>
      </w:pBdr>
      <w:tabs>
        <w:tab w:val="center" w:pos="4153"/>
        <w:tab w:val="right" w:pos="8306"/>
      </w:tabs>
      <w:snapToGrid w:val="0"/>
      <w:jc w:val="center"/>
    </w:pPr>
    <w:rPr>
      <w:sz w:val="18"/>
      <w:szCs w:val="18"/>
    </w:rPr>
  </w:style>
  <w:style w:type="character" w:customStyle="1" w:styleId="Char0">
    <w:name w:val="页眉 Char"/>
    <w:basedOn w:val="a0"/>
    <w:link w:val="ae"/>
    <w:rsid w:val="008657B6"/>
    <w:rPr>
      <w:kern w:val="2"/>
      <w:sz w:val="18"/>
      <w:szCs w:val="18"/>
    </w:rPr>
  </w:style>
  <w:style w:type="paragraph" w:styleId="af">
    <w:name w:val="annotation subject"/>
    <w:basedOn w:val="ac"/>
    <w:next w:val="ac"/>
    <w:semiHidden/>
    <w:rsid w:val="0015524C"/>
    <w:rPr>
      <w:b/>
      <w:bCs/>
    </w:rPr>
  </w:style>
</w:styles>
</file>

<file path=word/webSettings.xml><?xml version="1.0" encoding="utf-8"?>
<w:webSettings xmlns:r="http://schemas.openxmlformats.org/officeDocument/2006/relationships" xmlns:w="http://schemas.openxmlformats.org/wordprocessingml/2006/main">
  <w:divs>
    <w:div w:id="3088253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bank.pingan.com"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13</TotalTime>
  <Pages>2</Pages>
  <Words>326</Words>
  <Characters>1860</Characters>
  <Application>Microsoft Office Word</Application>
  <DocSecurity>0</DocSecurity>
  <Lines>15</Lines>
  <Paragraphs>4</Paragraphs>
  <ScaleCrop>false</ScaleCrop>
  <Company>sdb</Company>
  <LinksUpToDate>false</LinksUpToDate>
  <CharactersWithSpaces>2182</CharactersWithSpaces>
  <SharedDoc>false</SharedDoc>
  <HLinks>
    <vt:vector size="6" baseType="variant">
      <vt:variant>
        <vt:i4>6750308</vt:i4>
      </vt:variant>
      <vt:variant>
        <vt:i4>12</vt:i4>
      </vt:variant>
      <vt:variant>
        <vt:i4>0</vt:i4>
      </vt:variant>
      <vt:variant>
        <vt:i4>5</vt:i4>
      </vt:variant>
      <vt:variant>
        <vt:lpwstr>http://www.bank.pingan.com/</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风险揭示书</dc:title>
  <dc:subject/>
  <dc:creator>Kevin DONG</dc:creator>
  <cp:keywords/>
  <dc:description/>
  <cp:lastModifiedBy>sdb</cp:lastModifiedBy>
  <cp:revision>54</cp:revision>
  <dcterms:created xsi:type="dcterms:W3CDTF">2013-08-22T03:12:00Z</dcterms:created>
  <dcterms:modified xsi:type="dcterms:W3CDTF">2014-06-24T06:29:00Z</dcterms:modified>
</cp:coreProperties>
</file>