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8240" w:type="dxa"/>
        <w:tblCellMar>
          <w:left w:w="0" w:type="dxa"/>
          <w:right w:w="0" w:type="dxa"/>
        </w:tblCellMar>
        <w:tblLook w:val="04A0"/>
      </w:tblPr>
      <w:tblGrid>
        <w:gridCol w:w="3330"/>
        <w:gridCol w:w="10"/>
        <w:gridCol w:w="4900"/>
      </w:tblGrid>
      <w:tr w:rsidR="006061F9" w:rsidTr="006061F9">
        <w:trPr>
          <w:trHeight w:val="735"/>
        </w:trPr>
        <w:tc>
          <w:tcPr>
            <w:tcW w:w="8240" w:type="dxa"/>
            <w:gridSpan w:val="3"/>
            <w:tcBorders>
              <w:top w:val="nil"/>
              <w:left w:val="nil"/>
              <w:bottom w:val="nil"/>
              <w:right w:val="nil"/>
            </w:tcBorders>
            <w:shd w:val="clear" w:color="auto" w:fill="auto"/>
            <w:vAlign w:val="center"/>
            <w:hideMark/>
          </w:tcPr>
          <w:p w:rsidR="006061F9" w:rsidRDefault="006061F9">
            <w:pPr>
              <w:jc w:val="center"/>
              <w:rPr>
                <w:rFonts w:ascii="仿宋_GB2312" w:eastAsia="仿宋_GB2312" w:hAnsi="宋体" w:cs="宋体"/>
                <w:b/>
                <w:bCs/>
                <w:color w:val="000000"/>
                <w:sz w:val="28"/>
                <w:szCs w:val="28"/>
              </w:rPr>
            </w:pPr>
            <w:r>
              <w:rPr>
                <w:rFonts w:ascii="仿宋_GB2312" w:eastAsia="仿宋_GB2312" w:hint="eastAsia"/>
                <w:b/>
                <w:bCs/>
                <w:color w:val="000000"/>
                <w:sz w:val="28"/>
                <w:szCs w:val="28"/>
              </w:rPr>
              <w:t>平安财富—和盈资产管理类2015年15期人民币理财产品说明书</w:t>
            </w:r>
          </w:p>
        </w:tc>
      </w:tr>
      <w:tr w:rsidR="006061F9" w:rsidTr="006061F9">
        <w:trPr>
          <w:trHeight w:val="3210"/>
        </w:trPr>
        <w:tc>
          <w:tcPr>
            <w:tcW w:w="824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6061F9" w:rsidRDefault="006061F9">
            <w:pPr>
              <w:rPr>
                <w:rFonts w:ascii="仿宋_GB2312" w:eastAsia="仿宋_GB2312" w:hAnsi="宋体" w:cs="宋体"/>
                <w:b/>
                <w:bCs/>
                <w:color w:val="000000"/>
                <w:sz w:val="22"/>
              </w:rPr>
            </w:pPr>
            <w:r>
              <w:rPr>
                <w:rFonts w:ascii="仿宋_GB2312" w:eastAsia="仿宋_GB2312" w:hint="eastAsia"/>
                <w:b/>
                <w:bCs/>
                <w:color w:val="000000"/>
                <w:sz w:val="22"/>
              </w:rPr>
              <w:t>一、 银行销售的理财产品与存款存在明显区别，具有一定的风险。</w:t>
            </w:r>
            <w:r>
              <w:rPr>
                <w:rFonts w:ascii="仿宋_GB2312" w:eastAsia="仿宋_GB2312" w:hint="eastAsia"/>
                <w:b/>
                <w:bCs/>
                <w:color w:val="000000"/>
                <w:sz w:val="22"/>
              </w:rPr>
              <w:br/>
              <w:t>二、 本产品向有投资经验及无投资经验客户均可销售。</w:t>
            </w:r>
            <w:r>
              <w:rPr>
                <w:rFonts w:ascii="仿宋_GB2312" w:eastAsia="仿宋_GB2312" w:hint="eastAsia"/>
                <w:b/>
                <w:bCs/>
                <w:color w:val="000000"/>
                <w:sz w:val="22"/>
              </w:rPr>
              <w:br/>
              <w:t>三、 本理财产品为非保本浮动收益型产品。平安银行对本理财产品的收益不提供保证承诺．根据银监会《商业银行个人理财业务风险管理指引》要求，特别提示：“本理财计划有投资风险，您只能获得合同明确承诺的收益，您应充分认识投资风险，谨慎投资。”</w:t>
            </w:r>
            <w:r>
              <w:rPr>
                <w:rFonts w:ascii="仿宋_GB2312" w:eastAsia="仿宋_GB2312" w:hint="eastAsia"/>
                <w:b/>
                <w:bCs/>
                <w:color w:val="000000"/>
                <w:sz w:val="22"/>
              </w:rPr>
              <w:br/>
              <w:t>四、 平安银行郑重提示：在购买理财产品前，投资者应确保自己完全明白该投资的性质和所涉及的风险，详细了解和审慎评估该理财产品的资金投资方向、风险类型及预期收益等基本情况，在慎重考虑后自行决定购买与自身风险承受能力和资产管理需求匹配的理财产品。</w:t>
            </w:r>
            <w:r>
              <w:rPr>
                <w:rFonts w:ascii="仿宋_GB2312" w:eastAsia="仿宋_GB2312" w:hint="eastAsia"/>
                <w:b/>
                <w:bCs/>
                <w:color w:val="000000"/>
                <w:sz w:val="22"/>
              </w:rPr>
              <w:br/>
              <w:t>五、 在购买理财产品后，投资者应随时关注该理财产品的信息披露情况，及时获取相关信息。</w:t>
            </w:r>
          </w:p>
        </w:tc>
      </w:tr>
      <w:tr w:rsidR="006061F9" w:rsidTr="006061F9">
        <w:trPr>
          <w:trHeight w:val="285"/>
        </w:trPr>
        <w:tc>
          <w:tcPr>
            <w:tcW w:w="0" w:type="auto"/>
            <w:tcBorders>
              <w:top w:val="nil"/>
              <w:left w:val="nil"/>
              <w:bottom w:val="nil"/>
              <w:right w:val="nil"/>
            </w:tcBorders>
            <w:shd w:val="clear" w:color="auto" w:fill="auto"/>
            <w:noWrap/>
            <w:vAlign w:val="center"/>
            <w:hideMark/>
          </w:tcPr>
          <w:p w:rsidR="006061F9" w:rsidRDefault="006061F9">
            <w:pPr>
              <w:rPr>
                <w:rFonts w:ascii="宋体" w:eastAsia="宋体" w:hAnsi="宋体" w:cs="宋体"/>
                <w:b/>
                <w:bCs/>
                <w:color w:val="000000"/>
                <w:sz w:val="24"/>
                <w:szCs w:val="24"/>
              </w:rPr>
            </w:pPr>
            <w:r>
              <w:rPr>
                <w:rFonts w:hint="eastAsia"/>
                <w:b/>
                <w:bCs/>
                <w:color w:val="000000"/>
              </w:rPr>
              <w:t>一、产品概述</w:t>
            </w:r>
          </w:p>
        </w:tc>
        <w:tc>
          <w:tcPr>
            <w:tcW w:w="0" w:type="auto"/>
            <w:tcBorders>
              <w:top w:val="nil"/>
              <w:left w:val="nil"/>
              <w:bottom w:val="nil"/>
              <w:right w:val="nil"/>
            </w:tcBorders>
            <w:shd w:val="clear" w:color="auto" w:fill="auto"/>
            <w:noWrap/>
            <w:vAlign w:val="center"/>
            <w:hideMark/>
          </w:tcPr>
          <w:p w:rsidR="006061F9" w:rsidRDefault="006061F9">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6061F9" w:rsidRDefault="006061F9">
            <w:pPr>
              <w:rPr>
                <w:rFonts w:ascii="宋体" w:eastAsia="宋体" w:hAnsi="宋体" w:cs="宋体"/>
                <w:color w:val="000000"/>
                <w:sz w:val="22"/>
              </w:rPr>
            </w:pPr>
          </w:p>
        </w:tc>
      </w:tr>
      <w:tr w:rsidR="006061F9" w:rsidTr="006061F9">
        <w:trPr>
          <w:trHeight w:val="27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061F9" w:rsidRDefault="006061F9">
            <w:pPr>
              <w:rPr>
                <w:rFonts w:ascii="宋体" w:eastAsia="宋体" w:hAnsi="宋体" w:cs="宋体"/>
                <w:color w:val="000000"/>
                <w:sz w:val="22"/>
              </w:rPr>
            </w:pPr>
            <w:r>
              <w:rPr>
                <w:rFonts w:hint="eastAsia"/>
                <w:color w:val="000000"/>
                <w:sz w:val="22"/>
              </w:rPr>
              <w:t>产品名称</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6061F9" w:rsidRDefault="006061F9">
            <w:pPr>
              <w:rPr>
                <w:rFonts w:ascii="宋体" w:eastAsia="宋体" w:hAnsi="宋体" w:cs="宋体"/>
                <w:b/>
                <w:bCs/>
                <w:color w:val="000000"/>
                <w:sz w:val="22"/>
              </w:rPr>
            </w:pPr>
            <w:r>
              <w:rPr>
                <w:rFonts w:hint="eastAsia"/>
                <w:b/>
                <w:bCs/>
                <w:color w:val="000000"/>
                <w:sz w:val="22"/>
              </w:rPr>
              <w:t>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15</w:t>
            </w:r>
            <w:r>
              <w:rPr>
                <w:rFonts w:hint="eastAsia"/>
                <w:b/>
                <w:bCs/>
                <w:color w:val="000000"/>
                <w:sz w:val="22"/>
              </w:rPr>
              <w:t>期人民币理财产品</w:t>
            </w:r>
          </w:p>
        </w:tc>
      </w:tr>
      <w:tr w:rsidR="006061F9" w:rsidTr="006061F9">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061F9" w:rsidRDefault="006061F9">
            <w:pPr>
              <w:rPr>
                <w:rFonts w:ascii="宋体" w:eastAsia="宋体" w:hAnsi="宋体" w:cs="宋体"/>
                <w:color w:val="000000"/>
                <w:sz w:val="22"/>
              </w:rPr>
            </w:pPr>
            <w:r>
              <w:rPr>
                <w:rFonts w:hint="eastAsia"/>
                <w:color w:val="000000"/>
                <w:sz w:val="22"/>
              </w:rPr>
              <w:t>产品风险评级</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6061F9" w:rsidRDefault="006061F9">
            <w:pPr>
              <w:rPr>
                <w:rFonts w:ascii="宋体" w:eastAsia="宋体" w:hAnsi="宋体" w:cs="宋体"/>
                <w:color w:val="000000"/>
                <w:sz w:val="22"/>
              </w:rPr>
            </w:pPr>
            <w:r>
              <w:rPr>
                <w:rFonts w:hint="eastAsia"/>
                <w:color w:val="000000"/>
                <w:sz w:val="22"/>
              </w:rPr>
              <w:t>“二级”低风险</w:t>
            </w:r>
          </w:p>
        </w:tc>
      </w:tr>
      <w:tr w:rsidR="006061F9" w:rsidTr="006061F9">
        <w:trPr>
          <w:trHeight w:val="88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061F9" w:rsidRDefault="006061F9">
            <w:pPr>
              <w:rPr>
                <w:rFonts w:ascii="宋体" w:eastAsia="宋体" w:hAnsi="宋体" w:cs="宋体"/>
                <w:color w:val="000000"/>
                <w:sz w:val="22"/>
              </w:rPr>
            </w:pPr>
            <w:r>
              <w:rPr>
                <w:rFonts w:hint="eastAsia"/>
                <w:color w:val="000000"/>
                <w:sz w:val="22"/>
              </w:rPr>
              <w:t>适合客户</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6061F9" w:rsidRDefault="006061F9">
            <w:pPr>
              <w:rPr>
                <w:rFonts w:ascii="宋体" w:eastAsia="宋体" w:hAnsi="宋体" w:cs="宋体"/>
                <w:color w:val="000000"/>
                <w:sz w:val="22"/>
              </w:rPr>
            </w:pPr>
            <w:r>
              <w:rPr>
                <w:rFonts w:hint="eastAsia"/>
                <w:color w:val="000000"/>
                <w:sz w:val="22"/>
              </w:rPr>
              <w:t>本产品向有投资经验及无投资经验客户均可销售。平安银行建议：经我行风险承受度评估，评定为“稳健型”、“平衡型”、“成长型”、“进取型”的客户适合购买本产品。</w:t>
            </w:r>
          </w:p>
        </w:tc>
      </w:tr>
      <w:tr w:rsidR="006061F9" w:rsidTr="006061F9">
        <w:trPr>
          <w:trHeight w:val="40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061F9" w:rsidRDefault="006061F9">
            <w:pPr>
              <w:rPr>
                <w:rFonts w:ascii="宋体" w:eastAsia="宋体" w:hAnsi="宋体" w:cs="宋体"/>
                <w:color w:val="000000"/>
                <w:sz w:val="22"/>
              </w:rPr>
            </w:pPr>
            <w:r>
              <w:rPr>
                <w:rFonts w:hint="eastAsia"/>
                <w:color w:val="000000"/>
                <w:sz w:val="22"/>
              </w:rPr>
              <w:t>产品期限</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6061F9" w:rsidRDefault="006061F9">
            <w:pPr>
              <w:rPr>
                <w:rFonts w:ascii="宋体" w:eastAsia="宋体" w:hAnsi="宋体" w:cs="宋体"/>
                <w:color w:val="000000"/>
                <w:sz w:val="22"/>
              </w:rPr>
            </w:pPr>
            <w:r>
              <w:rPr>
                <w:rFonts w:hint="eastAsia"/>
                <w:color w:val="000000"/>
                <w:sz w:val="22"/>
              </w:rPr>
              <w:t>85</w:t>
            </w:r>
            <w:r>
              <w:rPr>
                <w:rFonts w:hint="eastAsia"/>
                <w:color w:val="000000"/>
                <w:sz w:val="22"/>
              </w:rPr>
              <w:t>天</w:t>
            </w:r>
          </w:p>
        </w:tc>
      </w:tr>
      <w:tr w:rsidR="006061F9" w:rsidTr="006061F9">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061F9" w:rsidRDefault="006061F9">
            <w:pPr>
              <w:rPr>
                <w:rFonts w:ascii="宋体" w:eastAsia="宋体" w:hAnsi="宋体" w:cs="宋体"/>
                <w:color w:val="000000"/>
                <w:sz w:val="22"/>
              </w:rPr>
            </w:pPr>
            <w:r>
              <w:rPr>
                <w:rFonts w:hint="eastAsia"/>
                <w:color w:val="000000"/>
                <w:sz w:val="22"/>
              </w:rPr>
              <w:t>投资及收益币种</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6061F9" w:rsidRDefault="006061F9">
            <w:pPr>
              <w:rPr>
                <w:rFonts w:ascii="宋体" w:eastAsia="宋体" w:hAnsi="宋体" w:cs="宋体"/>
                <w:color w:val="000000"/>
                <w:sz w:val="22"/>
              </w:rPr>
            </w:pPr>
            <w:r>
              <w:rPr>
                <w:rFonts w:hint="eastAsia"/>
                <w:color w:val="000000"/>
                <w:sz w:val="22"/>
              </w:rPr>
              <w:t>人民币</w:t>
            </w:r>
          </w:p>
        </w:tc>
      </w:tr>
      <w:tr w:rsidR="006061F9" w:rsidTr="006061F9">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061F9" w:rsidRDefault="006061F9">
            <w:pPr>
              <w:rPr>
                <w:rFonts w:ascii="宋体" w:eastAsia="宋体" w:hAnsi="宋体" w:cs="宋体"/>
                <w:color w:val="000000"/>
                <w:sz w:val="22"/>
              </w:rPr>
            </w:pPr>
            <w:r>
              <w:rPr>
                <w:rFonts w:hint="eastAsia"/>
                <w:color w:val="000000"/>
                <w:sz w:val="22"/>
              </w:rPr>
              <w:t>产品类型</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6061F9" w:rsidRDefault="006061F9">
            <w:pPr>
              <w:rPr>
                <w:rFonts w:ascii="宋体" w:eastAsia="宋体" w:hAnsi="宋体" w:cs="宋体"/>
                <w:color w:val="000000"/>
                <w:sz w:val="22"/>
              </w:rPr>
            </w:pPr>
            <w:r>
              <w:rPr>
                <w:rFonts w:hint="eastAsia"/>
                <w:color w:val="000000"/>
                <w:sz w:val="22"/>
              </w:rPr>
              <w:t>非保本浮动收益型产品</w:t>
            </w:r>
          </w:p>
        </w:tc>
      </w:tr>
      <w:tr w:rsidR="006061F9" w:rsidTr="006061F9">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061F9" w:rsidRDefault="006061F9">
            <w:pPr>
              <w:rPr>
                <w:rFonts w:ascii="宋体" w:eastAsia="宋体" w:hAnsi="宋体" w:cs="宋体"/>
                <w:color w:val="000000"/>
                <w:sz w:val="22"/>
              </w:rPr>
            </w:pPr>
            <w:r>
              <w:rPr>
                <w:rFonts w:hint="eastAsia"/>
                <w:color w:val="000000"/>
                <w:sz w:val="22"/>
              </w:rPr>
              <w:t>计划发行量</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6061F9" w:rsidRDefault="006061F9">
            <w:pPr>
              <w:rPr>
                <w:rFonts w:ascii="宋体" w:eastAsia="宋体" w:hAnsi="宋体" w:cs="宋体"/>
                <w:color w:val="000000"/>
                <w:sz w:val="22"/>
              </w:rPr>
            </w:pPr>
            <w:r>
              <w:rPr>
                <w:rFonts w:hint="eastAsia"/>
                <w:color w:val="000000"/>
                <w:sz w:val="22"/>
              </w:rPr>
              <w:t>1000</w:t>
            </w:r>
            <w:r>
              <w:rPr>
                <w:rFonts w:hint="eastAsia"/>
                <w:color w:val="000000"/>
                <w:sz w:val="22"/>
              </w:rPr>
              <w:t>亿元，平安银行有权按照实际情况进行调整。</w:t>
            </w:r>
          </w:p>
        </w:tc>
      </w:tr>
      <w:tr w:rsidR="006061F9" w:rsidTr="006061F9">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061F9" w:rsidRDefault="006061F9">
            <w:pPr>
              <w:rPr>
                <w:rFonts w:ascii="宋体" w:eastAsia="宋体" w:hAnsi="宋体" w:cs="宋体"/>
                <w:color w:val="000000"/>
                <w:sz w:val="22"/>
              </w:rPr>
            </w:pPr>
            <w:r>
              <w:rPr>
                <w:rFonts w:hint="eastAsia"/>
                <w:color w:val="000000"/>
                <w:sz w:val="22"/>
              </w:rPr>
              <w:t>单位金额</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6061F9" w:rsidRDefault="006061F9">
            <w:pPr>
              <w:rPr>
                <w:rFonts w:ascii="宋体" w:eastAsia="宋体" w:hAnsi="宋体" w:cs="宋体"/>
                <w:color w:val="000000"/>
                <w:sz w:val="22"/>
              </w:rPr>
            </w:pPr>
            <w:r>
              <w:rPr>
                <w:rFonts w:hint="eastAsia"/>
                <w:color w:val="000000"/>
                <w:sz w:val="22"/>
              </w:rPr>
              <w:t>1</w:t>
            </w:r>
            <w:r>
              <w:rPr>
                <w:rFonts w:hint="eastAsia"/>
                <w:color w:val="000000"/>
                <w:sz w:val="22"/>
              </w:rPr>
              <w:t>元人民币为</w:t>
            </w:r>
            <w:r>
              <w:rPr>
                <w:rFonts w:hint="eastAsia"/>
                <w:color w:val="000000"/>
                <w:sz w:val="22"/>
              </w:rPr>
              <w:t>1</w:t>
            </w:r>
            <w:r>
              <w:rPr>
                <w:rFonts w:hint="eastAsia"/>
                <w:color w:val="000000"/>
                <w:sz w:val="22"/>
              </w:rPr>
              <w:t>份</w:t>
            </w:r>
          </w:p>
        </w:tc>
      </w:tr>
      <w:tr w:rsidR="006061F9" w:rsidTr="006061F9">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061F9" w:rsidRDefault="006061F9">
            <w:pPr>
              <w:rPr>
                <w:rFonts w:ascii="宋体" w:eastAsia="宋体" w:hAnsi="宋体" w:cs="宋体"/>
                <w:color w:val="000000"/>
                <w:sz w:val="22"/>
              </w:rPr>
            </w:pPr>
            <w:r>
              <w:rPr>
                <w:rFonts w:hint="eastAsia"/>
                <w:color w:val="000000"/>
                <w:sz w:val="22"/>
              </w:rPr>
              <w:t>认购起点金额</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6061F9" w:rsidRDefault="006061F9">
            <w:pPr>
              <w:rPr>
                <w:rFonts w:ascii="宋体" w:eastAsia="宋体" w:hAnsi="宋体" w:cs="宋体"/>
                <w:color w:val="000000"/>
                <w:sz w:val="22"/>
              </w:rPr>
            </w:pPr>
            <w:r>
              <w:rPr>
                <w:rFonts w:hint="eastAsia"/>
                <w:color w:val="000000"/>
                <w:sz w:val="22"/>
              </w:rPr>
              <w:t>人民币</w:t>
            </w:r>
            <w:r>
              <w:rPr>
                <w:rFonts w:hint="eastAsia"/>
                <w:color w:val="000000"/>
                <w:sz w:val="22"/>
              </w:rPr>
              <w:t>5</w:t>
            </w:r>
            <w:r>
              <w:rPr>
                <w:rFonts w:hint="eastAsia"/>
                <w:color w:val="000000"/>
                <w:sz w:val="22"/>
              </w:rPr>
              <w:t>万元，超出部分以</w:t>
            </w:r>
            <w:r>
              <w:rPr>
                <w:rFonts w:hint="eastAsia"/>
                <w:color w:val="000000"/>
                <w:sz w:val="22"/>
              </w:rPr>
              <w:t>1000</w:t>
            </w:r>
            <w:r>
              <w:rPr>
                <w:rFonts w:hint="eastAsia"/>
                <w:color w:val="000000"/>
                <w:sz w:val="22"/>
              </w:rPr>
              <w:t>的整数倍元递增。</w:t>
            </w:r>
          </w:p>
        </w:tc>
      </w:tr>
      <w:tr w:rsidR="006061F9" w:rsidTr="006061F9">
        <w:trPr>
          <w:trHeight w:val="10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061F9" w:rsidRDefault="006061F9">
            <w:pPr>
              <w:rPr>
                <w:rFonts w:ascii="宋体" w:eastAsia="宋体" w:hAnsi="宋体" w:cs="宋体"/>
                <w:color w:val="000000"/>
                <w:sz w:val="22"/>
              </w:rPr>
            </w:pPr>
            <w:r>
              <w:rPr>
                <w:rFonts w:hint="eastAsia"/>
                <w:color w:val="000000"/>
                <w:sz w:val="22"/>
              </w:rPr>
              <w:t>产品认购期</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6061F9" w:rsidRDefault="006061F9">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12</w:t>
            </w:r>
            <w:r>
              <w:rPr>
                <w:rFonts w:hint="eastAsia"/>
                <w:color w:val="000000"/>
                <w:sz w:val="22"/>
              </w:rPr>
              <w:t>日</w:t>
            </w: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13</w:t>
            </w:r>
            <w:r>
              <w:rPr>
                <w:rFonts w:hint="eastAsia"/>
                <w:color w:val="000000"/>
                <w:sz w:val="22"/>
              </w:rPr>
              <w:t>日</w:t>
            </w:r>
            <w:r>
              <w:rPr>
                <w:rFonts w:hint="eastAsia"/>
                <w:color w:val="000000"/>
                <w:sz w:val="22"/>
              </w:rPr>
              <w:br/>
            </w:r>
            <w:r>
              <w:rPr>
                <w:rFonts w:hint="eastAsia"/>
                <w:color w:val="000000"/>
                <w:sz w:val="22"/>
              </w:rPr>
              <w:t>平安银行保留延长或提前终止产品认购期的权力。如有变动，产品实际认购期以平安银行公告为准。认购期结束，停止本理财产品销售。</w:t>
            </w:r>
          </w:p>
        </w:tc>
      </w:tr>
      <w:tr w:rsidR="006061F9" w:rsidTr="006061F9">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061F9" w:rsidRDefault="006061F9">
            <w:pPr>
              <w:rPr>
                <w:rFonts w:ascii="宋体" w:eastAsia="宋体" w:hAnsi="宋体" w:cs="宋体"/>
                <w:color w:val="000000"/>
                <w:sz w:val="22"/>
              </w:rPr>
            </w:pPr>
            <w:r>
              <w:rPr>
                <w:rFonts w:hint="eastAsia"/>
                <w:color w:val="000000"/>
                <w:sz w:val="22"/>
              </w:rPr>
              <w:t>认购划款日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6061F9" w:rsidRDefault="006061F9">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14</w:t>
            </w:r>
            <w:r>
              <w:rPr>
                <w:rFonts w:hint="eastAsia"/>
                <w:color w:val="000000"/>
                <w:sz w:val="22"/>
              </w:rPr>
              <w:t>日</w:t>
            </w:r>
          </w:p>
        </w:tc>
      </w:tr>
      <w:tr w:rsidR="006061F9" w:rsidTr="006061F9">
        <w:trPr>
          <w:trHeight w:val="13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061F9" w:rsidRDefault="006061F9">
            <w:pPr>
              <w:rPr>
                <w:rFonts w:ascii="宋体" w:eastAsia="宋体" w:hAnsi="宋体" w:cs="宋体"/>
                <w:color w:val="000000"/>
                <w:sz w:val="22"/>
              </w:rPr>
            </w:pPr>
            <w:r>
              <w:rPr>
                <w:rFonts w:hint="eastAsia"/>
                <w:color w:val="000000"/>
                <w:sz w:val="22"/>
              </w:rPr>
              <w:t>产品成立</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6061F9" w:rsidRDefault="006061F9">
            <w:pPr>
              <w:rPr>
                <w:rFonts w:ascii="宋体" w:eastAsia="宋体" w:hAnsi="宋体" w:cs="宋体"/>
                <w:color w:val="000000"/>
                <w:sz w:val="22"/>
              </w:rPr>
            </w:pPr>
            <w:r>
              <w:rPr>
                <w:rFonts w:hint="eastAsia"/>
                <w:color w:val="000000"/>
                <w:sz w:val="22"/>
              </w:rPr>
              <w:t>银行有权结束募集并提前成立，产品提前成立时，银行将发布公告并调整相关日期，产品最终规模以银行实际募集金额为准。如募集期内认购规模未达到计划发行量，或因监管政策等原因导致产品无法成立时，则平安银行有权宣布产品不成立，并将在</w:t>
            </w:r>
            <w:r>
              <w:rPr>
                <w:rFonts w:hint="eastAsia"/>
                <w:color w:val="000000"/>
                <w:sz w:val="22"/>
              </w:rPr>
              <w:t>3</w:t>
            </w:r>
            <w:r>
              <w:rPr>
                <w:rFonts w:hint="eastAsia"/>
                <w:color w:val="000000"/>
                <w:sz w:val="22"/>
              </w:rPr>
              <w:t>个工作日内将产品本金退还至客户认购账户。</w:t>
            </w:r>
          </w:p>
        </w:tc>
      </w:tr>
      <w:tr w:rsidR="006061F9" w:rsidTr="006061F9">
        <w:trPr>
          <w:trHeight w:val="7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061F9" w:rsidRDefault="006061F9">
            <w:pPr>
              <w:rPr>
                <w:rFonts w:ascii="宋体" w:eastAsia="宋体" w:hAnsi="宋体" w:cs="宋体"/>
                <w:color w:val="000000"/>
                <w:sz w:val="22"/>
              </w:rPr>
            </w:pPr>
            <w:r>
              <w:rPr>
                <w:rFonts w:hint="eastAsia"/>
                <w:color w:val="000000"/>
                <w:sz w:val="22"/>
              </w:rPr>
              <w:t>产品成立日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6061F9" w:rsidRDefault="006061F9">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14</w:t>
            </w:r>
            <w:r>
              <w:rPr>
                <w:rFonts w:hint="eastAsia"/>
                <w:color w:val="000000"/>
                <w:sz w:val="22"/>
              </w:rPr>
              <w:t>日</w:t>
            </w:r>
            <w:r>
              <w:rPr>
                <w:rFonts w:hint="eastAsia"/>
                <w:color w:val="000000"/>
                <w:sz w:val="22"/>
              </w:rPr>
              <w:br/>
            </w:r>
            <w:r>
              <w:rPr>
                <w:rFonts w:hint="eastAsia"/>
                <w:color w:val="000000"/>
                <w:sz w:val="22"/>
              </w:rPr>
              <w:t>如产品认购期提前终止或延长，实际成立日以平安银行实际公告为准。</w:t>
            </w:r>
          </w:p>
        </w:tc>
      </w:tr>
      <w:tr w:rsidR="006061F9" w:rsidTr="006061F9">
        <w:trPr>
          <w:trHeight w:val="8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061F9" w:rsidRDefault="006061F9">
            <w:pPr>
              <w:rPr>
                <w:rFonts w:ascii="宋体" w:eastAsia="宋体" w:hAnsi="宋体" w:cs="宋体"/>
                <w:color w:val="000000"/>
                <w:sz w:val="22"/>
              </w:rPr>
            </w:pPr>
            <w:r>
              <w:rPr>
                <w:rFonts w:hint="eastAsia"/>
                <w:color w:val="000000"/>
                <w:sz w:val="22"/>
              </w:rPr>
              <w:lastRenderedPageBreak/>
              <w:t>产品到期日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6061F9" w:rsidRDefault="006061F9">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04</w:t>
            </w:r>
            <w:r>
              <w:rPr>
                <w:rFonts w:hint="eastAsia"/>
                <w:color w:val="000000"/>
                <w:sz w:val="22"/>
              </w:rPr>
              <w:t>月</w:t>
            </w:r>
            <w:r>
              <w:rPr>
                <w:rFonts w:hint="eastAsia"/>
                <w:color w:val="000000"/>
                <w:sz w:val="22"/>
              </w:rPr>
              <w:t>09</w:t>
            </w:r>
            <w:r>
              <w:rPr>
                <w:rFonts w:hint="eastAsia"/>
                <w:color w:val="000000"/>
                <w:sz w:val="22"/>
              </w:rPr>
              <w:t>日</w:t>
            </w:r>
            <w:r>
              <w:rPr>
                <w:rFonts w:hint="eastAsia"/>
                <w:color w:val="000000"/>
                <w:sz w:val="22"/>
              </w:rPr>
              <w:br/>
            </w:r>
            <w:r>
              <w:rPr>
                <w:rFonts w:hint="eastAsia"/>
                <w:color w:val="000000"/>
                <w:sz w:val="22"/>
              </w:rPr>
              <w:t>平安银行有权行使提前终止权和延期终止权，若确需行使，平安银行将另行公告。</w:t>
            </w:r>
          </w:p>
        </w:tc>
      </w:tr>
      <w:tr w:rsidR="006061F9" w:rsidTr="006061F9">
        <w:trPr>
          <w:trHeight w:val="5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061F9" w:rsidRDefault="006061F9">
            <w:pPr>
              <w:rPr>
                <w:rFonts w:ascii="宋体" w:eastAsia="宋体" w:hAnsi="宋体" w:cs="宋体"/>
                <w:color w:val="000000"/>
                <w:sz w:val="22"/>
              </w:rPr>
            </w:pPr>
            <w:r>
              <w:rPr>
                <w:rFonts w:hint="eastAsia"/>
                <w:color w:val="000000"/>
                <w:sz w:val="22"/>
              </w:rPr>
              <w:t>资金到账日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6061F9" w:rsidRDefault="006061F9">
            <w:pPr>
              <w:rPr>
                <w:rFonts w:ascii="宋体" w:eastAsia="宋体" w:hAnsi="宋体" w:cs="宋体"/>
                <w:color w:val="000000"/>
                <w:sz w:val="22"/>
              </w:rPr>
            </w:pPr>
            <w:r>
              <w:rPr>
                <w:rFonts w:hint="eastAsia"/>
                <w:color w:val="000000"/>
                <w:sz w:val="22"/>
              </w:rPr>
              <w:t>产品到期日、提前终止日或延期终止日后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）内将本金和收益划转到投资者指定账户，逢节假日顺延。</w:t>
            </w:r>
          </w:p>
        </w:tc>
      </w:tr>
      <w:tr w:rsidR="006061F9" w:rsidTr="006061F9">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061F9" w:rsidRDefault="006061F9">
            <w:pPr>
              <w:rPr>
                <w:rFonts w:ascii="宋体" w:eastAsia="宋体" w:hAnsi="宋体" w:cs="宋体"/>
                <w:color w:val="000000"/>
                <w:sz w:val="22"/>
              </w:rPr>
            </w:pPr>
            <w:r>
              <w:rPr>
                <w:rFonts w:hint="eastAsia"/>
                <w:color w:val="000000"/>
                <w:sz w:val="22"/>
              </w:rPr>
              <w:t>理财资产管理人</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6061F9" w:rsidRDefault="006061F9">
            <w:pPr>
              <w:rPr>
                <w:rFonts w:ascii="宋体" w:eastAsia="宋体" w:hAnsi="宋体" w:cs="宋体"/>
                <w:color w:val="000000"/>
                <w:sz w:val="22"/>
              </w:rPr>
            </w:pPr>
            <w:r>
              <w:rPr>
                <w:rFonts w:hint="eastAsia"/>
                <w:color w:val="000000"/>
                <w:sz w:val="22"/>
              </w:rPr>
              <w:t>平安银行股份有限公司</w:t>
            </w:r>
          </w:p>
        </w:tc>
      </w:tr>
      <w:tr w:rsidR="006061F9" w:rsidTr="006061F9">
        <w:trPr>
          <w:trHeight w:val="16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061F9" w:rsidRDefault="006061F9">
            <w:pPr>
              <w:rPr>
                <w:rFonts w:ascii="宋体" w:eastAsia="宋体" w:hAnsi="宋体" w:cs="宋体"/>
                <w:color w:val="000000"/>
                <w:sz w:val="22"/>
              </w:rPr>
            </w:pPr>
            <w:r>
              <w:rPr>
                <w:rFonts w:hint="eastAsia"/>
                <w:color w:val="000000"/>
                <w:sz w:val="22"/>
              </w:rPr>
              <w:t>收益率测算</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6061F9" w:rsidRDefault="006061F9">
            <w:pPr>
              <w:rPr>
                <w:rFonts w:ascii="宋体" w:eastAsia="宋体" w:hAnsi="宋体" w:cs="宋体"/>
                <w:color w:val="000000"/>
                <w:sz w:val="22"/>
              </w:rPr>
            </w:pPr>
            <w:r>
              <w:rPr>
                <w:rFonts w:hint="eastAsia"/>
                <w:color w:val="000000"/>
                <w:sz w:val="22"/>
              </w:rPr>
              <w:t>根据当期可投资资产收益率，扣除产品的成本，本期产品预期最高年化收益率为</w:t>
            </w:r>
            <w:r w:rsidR="000B4277">
              <w:rPr>
                <w:rFonts w:hint="eastAsia"/>
                <w:color w:val="000000"/>
                <w:sz w:val="22"/>
              </w:rPr>
              <w:t>100</w:t>
            </w:r>
            <w:r w:rsidR="000B4277">
              <w:rPr>
                <w:rFonts w:hint="eastAsia"/>
                <w:color w:val="000000"/>
                <w:sz w:val="22"/>
              </w:rPr>
              <w:t>万</w:t>
            </w:r>
            <w:r>
              <w:rPr>
                <w:rFonts w:hint="eastAsia"/>
                <w:color w:val="000000"/>
                <w:sz w:val="22"/>
              </w:rPr>
              <w:t>以下</w:t>
            </w:r>
            <w:r w:rsidR="000B4277">
              <w:rPr>
                <w:rFonts w:hint="eastAsia"/>
                <w:color w:val="000000"/>
                <w:sz w:val="22"/>
              </w:rPr>
              <w:t>5.65</w:t>
            </w:r>
            <w:r>
              <w:rPr>
                <w:rFonts w:hint="eastAsia"/>
                <w:color w:val="000000"/>
                <w:sz w:val="22"/>
              </w:rPr>
              <w:t>%</w:t>
            </w:r>
            <w:r>
              <w:rPr>
                <w:rFonts w:hint="eastAsia"/>
                <w:color w:val="000000"/>
                <w:sz w:val="22"/>
              </w:rPr>
              <w:t>，</w:t>
            </w:r>
            <w:r w:rsidR="000B4277">
              <w:rPr>
                <w:rFonts w:hint="eastAsia"/>
                <w:color w:val="000000"/>
                <w:sz w:val="22"/>
              </w:rPr>
              <w:t>100</w:t>
            </w:r>
            <w:r w:rsidR="000B4277">
              <w:rPr>
                <w:rFonts w:hint="eastAsia"/>
                <w:color w:val="000000"/>
                <w:sz w:val="22"/>
              </w:rPr>
              <w:t>万</w:t>
            </w:r>
            <w:r>
              <w:rPr>
                <w:rFonts w:hint="eastAsia"/>
                <w:color w:val="000000"/>
                <w:sz w:val="22"/>
              </w:rPr>
              <w:t>（含）以上</w:t>
            </w:r>
            <w:r w:rsidR="000B4277">
              <w:rPr>
                <w:rFonts w:hint="eastAsia"/>
                <w:color w:val="000000"/>
                <w:sz w:val="22"/>
              </w:rPr>
              <w:t>5.75</w:t>
            </w:r>
            <w:r>
              <w:rPr>
                <w:rFonts w:hint="eastAsia"/>
                <w:color w:val="000000"/>
                <w:sz w:val="22"/>
              </w:rPr>
              <w:t>%</w:t>
            </w:r>
            <w:r>
              <w:rPr>
                <w:rFonts w:hint="eastAsia"/>
                <w:color w:val="000000"/>
                <w:sz w:val="22"/>
              </w:rPr>
              <w:t>。超过预期最高年化收益率的收益部分作为平安银行的手续费。平安银行有权根据理财产品资金运作情况调整预期最高年化收益率，以后各期预期最高年化收益率详见平安银行网站当期信息公告。</w:t>
            </w:r>
          </w:p>
        </w:tc>
      </w:tr>
      <w:tr w:rsidR="006061F9" w:rsidTr="006061F9">
        <w:trPr>
          <w:trHeight w:val="7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061F9" w:rsidRDefault="006061F9">
            <w:pPr>
              <w:rPr>
                <w:rFonts w:ascii="宋体" w:eastAsia="宋体" w:hAnsi="宋体" w:cs="宋体"/>
                <w:color w:val="000000"/>
                <w:sz w:val="22"/>
              </w:rPr>
            </w:pPr>
            <w:r>
              <w:rPr>
                <w:rFonts w:hint="eastAsia"/>
                <w:color w:val="000000"/>
                <w:sz w:val="22"/>
              </w:rPr>
              <w:t>产品认购</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6061F9" w:rsidRDefault="006061F9">
            <w:pPr>
              <w:rPr>
                <w:rFonts w:ascii="宋体" w:eastAsia="宋体" w:hAnsi="宋体" w:cs="宋体"/>
                <w:color w:val="000000"/>
                <w:sz w:val="22"/>
              </w:rPr>
            </w:pPr>
            <w:r>
              <w:rPr>
                <w:rFonts w:hint="eastAsia"/>
                <w:color w:val="000000"/>
                <w:sz w:val="22"/>
              </w:rPr>
              <w:t>所有符合本理财产品投资要求的投资者均可携带本人身份证件及借记卡到各营业网点办理或平安银行网上银行及电话银行办理认购手续。</w:t>
            </w:r>
          </w:p>
        </w:tc>
      </w:tr>
      <w:tr w:rsidR="006061F9" w:rsidTr="006061F9">
        <w:trPr>
          <w:trHeight w:val="13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061F9" w:rsidRDefault="006061F9">
            <w:pPr>
              <w:rPr>
                <w:rFonts w:ascii="宋体" w:eastAsia="宋体" w:hAnsi="宋体" w:cs="宋体"/>
                <w:color w:val="000000"/>
                <w:sz w:val="22"/>
              </w:rPr>
            </w:pPr>
            <w:r>
              <w:rPr>
                <w:rFonts w:hint="eastAsia"/>
                <w:color w:val="000000"/>
                <w:sz w:val="22"/>
              </w:rPr>
              <w:t>提前和延期终止权</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6061F9" w:rsidRDefault="006061F9">
            <w:pPr>
              <w:rPr>
                <w:rFonts w:ascii="宋体" w:eastAsia="宋体" w:hAnsi="宋体" w:cs="宋体"/>
                <w:color w:val="000000"/>
                <w:sz w:val="22"/>
              </w:rPr>
            </w:pPr>
            <w:r>
              <w:rPr>
                <w:rFonts w:hint="eastAsia"/>
                <w:color w:val="000000"/>
                <w:sz w:val="22"/>
              </w:rPr>
              <w:t>理财期内，投资者无提前终止本理财产品的权利。</w:t>
            </w:r>
            <w:r>
              <w:rPr>
                <w:rFonts w:hint="eastAsia"/>
                <w:color w:val="000000"/>
                <w:sz w:val="22"/>
              </w:rPr>
              <w:br/>
            </w:r>
            <w:r>
              <w:rPr>
                <w:rFonts w:hint="eastAsia"/>
                <w:color w:val="000000"/>
                <w:sz w:val="22"/>
              </w:rPr>
              <w:t>平安银行对本产品保留：根据市场情况选择在理财期内任一天提前终止产品的权利，以及在产品到期日延期结束产品的权利。银行在提前终止日或者在产品到期日前</w:t>
            </w:r>
            <w:r>
              <w:rPr>
                <w:rFonts w:hint="eastAsia"/>
                <w:color w:val="000000"/>
                <w:sz w:val="22"/>
              </w:rPr>
              <w:t>2</w:t>
            </w:r>
            <w:r>
              <w:rPr>
                <w:rFonts w:hint="eastAsia"/>
                <w:color w:val="000000"/>
                <w:sz w:val="22"/>
              </w:rPr>
              <w:t>个工作日发布信息公告。</w:t>
            </w:r>
          </w:p>
        </w:tc>
      </w:tr>
      <w:tr w:rsidR="006061F9" w:rsidTr="006061F9">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061F9" w:rsidRDefault="006061F9">
            <w:pPr>
              <w:rPr>
                <w:rFonts w:ascii="宋体" w:eastAsia="宋体" w:hAnsi="宋体" w:cs="宋体"/>
                <w:color w:val="000000"/>
                <w:sz w:val="22"/>
              </w:rPr>
            </w:pPr>
            <w:r>
              <w:rPr>
                <w:rFonts w:hint="eastAsia"/>
                <w:color w:val="000000"/>
                <w:sz w:val="22"/>
              </w:rPr>
              <w:t>工作日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6061F9" w:rsidRDefault="006061F9">
            <w:pPr>
              <w:rPr>
                <w:rFonts w:ascii="宋体" w:eastAsia="宋体" w:hAnsi="宋体" w:cs="宋体"/>
                <w:color w:val="000000"/>
                <w:sz w:val="22"/>
              </w:rPr>
            </w:pPr>
            <w:r>
              <w:rPr>
                <w:rFonts w:hint="eastAsia"/>
                <w:color w:val="000000"/>
                <w:sz w:val="22"/>
              </w:rPr>
              <w:t>国家法定工作日</w:t>
            </w:r>
          </w:p>
        </w:tc>
      </w:tr>
      <w:tr w:rsidR="006061F9" w:rsidTr="006061F9">
        <w:trPr>
          <w:trHeight w:val="11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061F9" w:rsidRDefault="006061F9">
            <w:pPr>
              <w:rPr>
                <w:rFonts w:ascii="宋体" w:eastAsia="宋体" w:hAnsi="宋体" w:cs="宋体"/>
                <w:color w:val="000000"/>
                <w:sz w:val="22"/>
              </w:rPr>
            </w:pPr>
            <w:r>
              <w:rPr>
                <w:rFonts w:hint="eastAsia"/>
                <w:color w:val="000000"/>
                <w:sz w:val="22"/>
              </w:rPr>
              <w:t>收益计算方法</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6061F9" w:rsidRDefault="006061F9">
            <w:pPr>
              <w:rPr>
                <w:rFonts w:ascii="宋体" w:eastAsia="宋体" w:hAnsi="宋体" w:cs="宋体"/>
                <w:color w:val="000000"/>
                <w:sz w:val="22"/>
              </w:rPr>
            </w:pPr>
            <w:r>
              <w:rPr>
                <w:rFonts w:hint="eastAsia"/>
                <w:color w:val="000000"/>
                <w:sz w:val="22"/>
              </w:rPr>
              <w:t>正常（延期）到期：产品实际收益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×当期存续天数</w:t>
            </w:r>
            <w:r>
              <w:rPr>
                <w:rFonts w:hint="eastAsia"/>
                <w:color w:val="000000"/>
                <w:sz w:val="22"/>
              </w:rPr>
              <w:br/>
            </w:r>
            <w:r>
              <w:rPr>
                <w:rFonts w:hint="eastAsia"/>
                <w:color w:val="000000"/>
                <w:sz w:val="22"/>
              </w:rPr>
              <w:t>提前终止：产品实际收益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×实际存续天数</w:t>
            </w:r>
          </w:p>
        </w:tc>
      </w:tr>
      <w:tr w:rsidR="006061F9" w:rsidTr="006061F9">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061F9" w:rsidRDefault="006061F9">
            <w:pPr>
              <w:rPr>
                <w:rFonts w:ascii="宋体" w:eastAsia="宋体" w:hAnsi="宋体" w:cs="宋体"/>
                <w:color w:val="000000"/>
                <w:sz w:val="22"/>
              </w:rPr>
            </w:pPr>
            <w:r>
              <w:rPr>
                <w:rFonts w:hint="eastAsia"/>
                <w:color w:val="000000"/>
                <w:sz w:val="22"/>
              </w:rPr>
              <w:t>税款</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6061F9" w:rsidRDefault="006061F9">
            <w:pPr>
              <w:rPr>
                <w:rFonts w:ascii="宋体" w:eastAsia="宋体" w:hAnsi="宋体" w:cs="宋体"/>
                <w:color w:val="000000"/>
                <w:sz w:val="22"/>
              </w:rPr>
            </w:pPr>
            <w:r>
              <w:rPr>
                <w:rFonts w:hint="eastAsia"/>
                <w:color w:val="000000"/>
                <w:sz w:val="22"/>
              </w:rPr>
              <w:t>理财收益的应纳税款由投资者自行申报及缴纳</w:t>
            </w:r>
          </w:p>
        </w:tc>
      </w:tr>
      <w:tr w:rsidR="006061F9" w:rsidTr="006061F9">
        <w:trPr>
          <w:trHeight w:val="18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061F9" w:rsidRDefault="006061F9">
            <w:pPr>
              <w:rPr>
                <w:rFonts w:ascii="宋体" w:eastAsia="宋体" w:hAnsi="宋体" w:cs="宋体"/>
                <w:color w:val="000000"/>
                <w:sz w:val="22"/>
              </w:rPr>
            </w:pPr>
            <w:r>
              <w:rPr>
                <w:rFonts w:hint="eastAsia"/>
                <w:color w:val="000000"/>
                <w:sz w:val="22"/>
              </w:rPr>
              <w:t>其他规定</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6061F9" w:rsidRDefault="006061F9">
            <w:pPr>
              <w:rPr>
                <w:rFonts w:ascii="宋体" w:eastAsia="宋体" w:hAnsi="宋体" w:cs="宋体"/>
                <w:color w:val="000000"/>
                <w:sz w:val="22"/>
              </w:rPr>
            </w:pPr>
            <w:r>
              <w:rPr>
                <w:rFonts w:hint="eastAsia"/>
                <w:color w:val="000000"/>
                <w:sz w:val="22"/>
              </w:rPr>
              <w:t>对于每个理财周期的产品认购期、认购划款日、产品成立日、产品到期日等日期，平安银行有权根据节假日进行调整，并以实际公布为准。产品理财期内，认购划款日至产品成立日为认购清算期，产品到期日至资金到账日为还本清算期，提前终止日至资金到账日为提前终止清算期（若银行提前终止理财），延期终止日至资金到账日为延期终止清算期（若银行延期终止理财）。上述清算期内均不计付收益。</w:t>
            </w:r>
          </w:p>
        </w:tc>
      </w:tr>
      <w:tr w:rsidR="006061F9" w:rsidTr="006061F9">
        <w:trPr>
          <w:trHeight w:val="270"/>
        </w:trPr>
        <w:tc>
          <w:tcPr>
            <w:tcW w:w="0" w:type="auto"/>
            <w:gridSpan w:val="3"/>
            <w:tcBorders>
              <w:top w:val="single" w:sz="4" w:space="0" w:color="auto"/>
              <w:left w:val="nil"/>
              <w:bottom w:val="nil"/>
              <w:right w:val="nil"/>
            </w:tcBorders>
            <w:shd w:val="clear" w:color="auto" w:fill="auto"/>
            <w:noWrap/>
            <w:vAlign w:val="center"/>
            <w:hideMark/>
          </w:tcPr>
          <w:p w:rsidR="006061F9" w:rsidRDefault="006061F9">
            <w:pPr>
              <w:rPr>
                <w:rFonts w:ascii="宋体" w:eastAsia="宋体" w:hAnsi="宋体" w:cs="宋体"/>
                <w:color w:val="000000"/>
                <w:sz w:val="22"/>
              </w:rPr>
            </w:pPr>
            <w:r>
              <w:rPr>
                <w:rFonts w:hint="eastAsia"/>
                <w:color w:val="000000"/>
                <w:sz w:val="22"/>
              </w:rPr>
              <w:t>平安银行有权根据节假日进行调整，并以实际公布为准。</w:t>
            </w:r>
          </w:p>
        </w:tc>
      </w:tr>
      <w:tr w:rsidR="006061F9" w:rsidTr="006061F9">
        <w:trPr>
          <w:trHeight w:val="285"/>
        </w:trPr>
        <w:tc>
          <w:tcPr>
            <w:tcW w:w="0" w:type="auto"/>
            <w:tcBorders>
              <w:top w:val="nil"/>
              <w:left w:val="nil"/>
              <w:bottom w:val="nil"/>
              <w:right w:val="nil"/>
            </w:tcBorders>
            <w:shd w:val="clear" w:color="auto" w:fill="auto"/>
            <w:noWrap/>
            <w:vAlign w:val="center"/>
            <w:hideMark/>
          </w:tcPr>
          <w:p w:rsidR="006061F9" w:rsidRDefault="006061F9">
            <w:pPr>
              <w:rPr>
                <w:rFonts w:ascii="宋体" w:eastAsia="宋体" w:hAnsi="宋体" w:cs="宋体"/>
                <w:b/>
                <w:bCs/>
                <w:color w:val="000000"/>
                <w:sz w:val="24"/>
                <w:szCs w:val="24"/>
              </w:rPr>
            </w:pPr>
            <w:r>
              <w:rPr>
                <w:rFonts w:hint="eastAsia"/>
                <w:b/>
                <w:bCs/>
                <w:color w:val="000000"/>
              </w:rPr>
              <w:t>二、投资对象</w:t>
            </w:r>
          </w:p>
        </w:tc>
        <w:tc>
          <w:tcPr>
            <w:tcW w:w="0" w:type="auto"/>
            <w:tcBorders>
              <w:top w:val="nil"/>
              <w:left w:val="nil"/>
              <w:bottom w:val="nil"/>
              <w:right w:val="nil"/>
            </w:tcBorders>
            <w:shd w:val="clear" w:color="auto" w:fill="auto"/>
            <w:noWrap/>
            <w:vAlign w:val="center"/>
            <w:hideMark/>
          </w:tcPr>
          <w:p w:rsidR="006061F9" w:rsidRDefault="006061F9">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6061F9" w:rsidRDefault="006061F9">
            <w:pPr>
              <w:rPr>
                <w:rFonts w:ascii="宋体" w:eastAsia="宋体" w:hAnsi="宋体" w:cs="宋体"/>
                <w:color w:val="000000"/>
                <w:sz w:val="22"/>
              </w:rPr>
            </w:pPr>
          </w:p>
        </w:tc>
      </w:tr>
      <w:tr w:rsidR="006061F9" w:rsidTr="006061F9">
        <w:trPr>
          <w:trHeight w:val="1065"/>
        </w:trPr>
        <w:tc>
          <w:tcPr>
            <w:tcW w:w="8240" w:type="dxa"/>
            <w:gridSpan w:val="3"/>
            <w:tcBorders>
              <w:top w:val="nil"/>
              <w:left w:val="nil"/>
              <w:bottom w:val="nil"/>
              <w:right w:val="nil"/>
            </w:tcBorders>
            <w:shd w:val="clear" w:color="auto" w:fill="auto"/>
            <w:vAlign w:val="center"/>
            <w:hideMark/>
          </w:tcPr>
          <w:p w:rsidR="006061F9" w:rsidRDefault="006061F9">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他金融工具。</w:t>
            </w:r>
          </w:p>
        </w:tc>
      </w:tr>
      <w:tr w:rsidR="006061F9" w:rsidTr="006061F9">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061F9" w:rsidRDefault="006061F9">
            <w:pPr>
              <w:jc w:val="center"/>
              <w:rPr>
                <w:rFonts w:ascii="宋体" w:eastAsia="宋体" w:hAnsi="宋体" w:cs="宋体"/>
                <w:color w:val="000000"/>
                <w:sz w:val="22"/>
              </w:rPr>
            </w:pPr>
            <w:r>
              <w:rPr>
                <w:rFonts w:hint="eastAsia"/>
                <w:color w:val="000000"/>
                <w:sz w:val="22"/>
              </w:rPr>
              <w:t>投资种类</w:t>
            </w:r>
          </w:p>
        </w:tc>
        <w:tc>
          <w:tcPr>
            <w:tcW w:w="4900" w:type="dxa"/>
            <w:tcBorders>
              <w:top w:val="single" w:sz="4" w:space="0" w:color="auto"/>
              <w:left w:val="nil"/>
              <w:bottom w:val="single" w:sz="4" w:space="0" w:color="auto"/>
              <w:right w:val="single" w:sz="4" w:space="0" w:color="auto"/>
            </w:tcBorders>
            <w:shd w:val="clear" w:color="auto" w:fill="auto"/>
            <w:vAlign w:val="center"/>
            <w:hideMark/>
          </w:tcPr>
          <w:p w:rsidR="006061F9" w:rsidRDefault="006061F9">
            <w:pPr>
              <w:jc w:val="center"/>
              <w:rPr>
                <w:rFonts w:ascii="宋体" w:eastAsia="宋体" w:hAnsi="宋体" w:cs="宋体"/>
                <w:color w:val="000000"/>
                <w:szCs w:val="21"/>
              </w:rPr>
            </w:pPr>
            <w:r>
              <w:rPr>
                <w:rFonts w:hint="eastAsia"/>
                <w:color w:val="000000"/>
                <w:szCs w:val="21"/>
              </w:rPr>
              <w:t>投资比例</w:t>
            </w:r>
          </w:p>
        </w:tc>
      </w:tr>
      <w:tr w:rsidR="006061F9" w:rsidTr="006061F9">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061F9" w:rsidRDefault="006061F9">
            <w:pPr>
              <w:jc w:val="center"/>
              <w:rPr>
                <w:rFonts w:ascii="宋体" w:eastAsia="宋体" w:hAnsi="宋体" w:cs="宋体"/>
                <w:color w:val="000000"/>
                <w:sz w:val="22"/>
              </w:rPr>
            </w:pPr>
            <w:r>
              <w:rPr>
                <w:rFonts w:hint="eastAsia"/>
                <w:color w:val="000000"/>
                <w:sz w:val="22"/>
              </w:rPr>
              <w:lastRenderedPageBreak/>
              <w:t>货币市场工具</w:t>
            </w:r>
          </w:p>
        </w:tc>
        <w:tc>
          <w:tcPr>
            <w:tcW w:w="4900" w:type="dxa"/>
            <w:tcBorders>
              <w:top w:val="nil"/>
              <w:left w:val="nil"/>
              <w:bottom w:val="single" w:sz="4" w:space="0" w:color="auto"/>
              <w:right w:val="single" w:sz="4" w:space="0" w:color="auto"/>
            </w:tcBorders>
            <w:shd w:val="clear" w:color="auto" w:fill="auto"/>
            <w:vAlign w:val="center"/>
            <w:hideMark/>
          </w:tcPr>
          <w:p w:rsidR="006061F9" w:rsidRDefault="006061F9">
            <w:pPr>
              <w:jc w:val="center"/>
              <w:rPr>
                <w:rFonts w:ascii="宋体" w:eastAsia="宋体" w:hAnsi="宋体" w:cs="宋体"/>
                <w:color w:val="000000"/>
                <w:szCs w:val="21"/>
              </w:rPr>
            </w:pPr>
            <w:r>
              <w:rPr>
                <w:rFonts w:hint="eastAsia"/>
                <w:color w:val="000000"/>
                <w:szCs w:val="21"/>
              </w:rPr>
              <w:t>0-60%</w:t>
            </w:r>
          </w:p>
        </w:tc>
      </w:tr>
      <w:tr w:rsidR="006061F9" w:rsidTr="006061F9">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061F9" w:rsidRDefault="006061F9">
            <w:pPr>
              <w:jc w:val="center"/>
              <w:rPr>
                <w:rFonts w:ascii="宋体" w:eastAsia="宋体" w:hAnsi="宋体" w:cs="宋体"/>
                <w:color w:val="000000"/>
                <w:sz w:val="22"/>
              </w:rPr>
            </w:pPr>
            <w:r>
              <w:rPr>
                <w:rFonts w:hint="eastAsia"/>
                <w:color w:val="000000"/>
                <w:sz w:val="22"/>
              </w:rPr>
              <w:t>债券资产</w:t>
            </w:r>
          </w:p>
        </w:tc>
        <w:tc>
          <w:tcPr>
            <w:tcW w:w="4900" w:type="dxa"/>
            <w:tcBorders>
              <w:top w:val="nil"/>
              <w:left w:val="nil"/>
              <w:bottom w:val="single" w:sz="4" w:space="0" w:color="auto"/>
              <w:right w:val="single" w:sz="4" w:space="0" w:color="auto"/>
            </w:tcBorders>
            <w:shd w:val="clear" w:color="auto" w:fill="auto"/>
            <w:vAlign w:val="center"/>
            <w:hideMark/>
          </w:tcPr>
          <w:p w:rsidR="006061F9" w:rsidRDefault="006061F9">
            <w:pPr>
              <w:jc w:val="center"/>
              <w:rPr>
                <w:rFonts w:ascii="宋体" w:eastAsia="宋体" w:hAnsi="宋体" w:cs="宋体"/>
                <w:color w:val="000000"/>
                <w:szCs w:val="21"/>
              </w:rPr>
            </w:pPr>
            <w:r>
              <w:rPr>
                <w:rFonts w:hint="eastAsia"/>
                <w:color w:val="000000"/>
                <w:szCs w:val="21"/>
              </w:rPr>
              <w:t>0-80%</w:t>
            </w:r>
          </w:p>
        </w:tc>
      </w:tr>
      <w:tr w:rsidR="006061F9" w:rsidTr="006061F9">
        <w:trPr>
          <w:trHeight w:val="600"/>
        </w:trPr>
        <w:tc>
          <w:tcPr>
            <w:tcW w:w="334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6061F9" w:rsidRDefault="006061F9">
            <w:pPr>
              <w:jc w:val="center"/>
              <w:rPr>
                <w:rFonts w:ascii="宋体" w:eastAsia="宋体" w:hAnsi="宋体" w:cs="宋体"/>
                <w:color w:val="000000"/>
                <w:sz w:val="22"/>
              </w:rPr>
            </w:pPr>
            <w:r>
              <w:rPr>
                <w:rFonts w:hint="eastAsia"/>
                <w:color w:val="000000"/>
                <w:sz w:val="22"/>
              </w:rPr>
              <w:t>信托计划、委托债权、资产收益权、货币市场基金、债券基金等其他资产</w:t>
            </w:r>
          </w:p>
        </w:tc>
        <w:tc>
          <w:tcPr>
            <w:tcW w:w="4900" w:type="dxa"/>
            <w:tcBorders>
              <w:top w:val="nil"/>
              <w:left w:val="nil"/>
              <w:bottom w:val="single" w:sz="4" w:space="0" w:color="auto"/>
              <w:right w:val="single" w:sz="4" w:space="0" w:color="auto"/>
            </w:tcBorders>
            <w:shd w:val="clear" w:color="auto" w:fill="auto"/>
            <w:vAlign w:val="center"/>
            <w:hideMark/>
          </w:tcPr>
          <w:p w:rsidR="006061F9" w:rsidRDefault="006061F9">
            <w:pPr>
              <w:jc w:val="center"/>
              <w:rPr>
                <w:rFonts w:ascii="宋体" w:eastAsia="宋体" w:hAnsi="宋体" w:cs="宋体"/>
                <w:color w:val="000000"/>
                <w:szCs w:val="21"/>
              </w:rPr>
            </w:pPr>
            <w:r>
              <w:rPr>
                <w:rFonts w:hint="eastAsia"/>
                <w:color w:val="000000"/>
                <w:szCs w:val="21"/>
              </w:rPr>
              <w:t>0-90%</w:t>
            </w:r>
          </w:p>
        </w:tc>
      </w:tr>
      <w:tr w:rsidR="006061F9" w:rsidTr="006061F9">
        <w:trPr>
          <w:trHeight w:val="900"/>
        </w:trPr>
        <w:tc>
          <w:tcPr>
            <w:tcW w:w="8240" w:type="dxa"/>
            <w:gridSpan w:val="3"/>
            <w:tcBorders>
              <w:top w:val="nil"/>
              <w:left w:val="nil"/>
              <w:bottom w:val="nil"/>
              <w:right w:val="nil"/>
            </w:tcBorders>
            <w:shd w:val="clear" w:color="auto" w:fill="auto"/>
            <w:vAlign w:val="center"/>
            <w:hideMark/>
          </w:tcPr>
          <w:p w:rsidR="006061F9" w:rsidRDefault="006061F9">
            <w:pPr>
              <w:rPr>
                <w:rFonts w:ascii="宋体" w:eastAsia="宋体" w:hAnsi="宋体" w:cs="宋体"/>
                <w:color w:val="000000"/>
                <w:sz w:val="22"/>
              </w:rPr>
            </w:pPr>
            <w:r>
              <w:rPr>
                <w:rFonts w:hint="eastAsia"/>
                <w:color w:val="000000"/>
                <w:sz w:val="22"/>
              </w:rPr>
              <w:t xml:space="preserve">    </w:t>
            </w:r>
            <w:r>
              <w:rPr>
                <w:rFonts w:hint="eastAsia"/>
                <w:color w:val="000000"/>
                <w:sz w:val="22"/>
              </w:rPr>
              <w:t>银行有权根据市场实际情况，在不对客户实质性权益产生重大影响且按约披露的前提下，对本理财产品的投资种类和投资比例进行调整。投资者对此无异议且同意在上述情况下继续持有本理财产品。</w:t>
            </w:r>
          </w:p>
        </w:tc>
      </w:tr>
      <w:tr w:rsidR="006061F9" w:rsidTr="006061F9">
        <w:trPr>
          <w:trHeight w:val="285"/>
        </w:trPr>
        <w:tc>
          <w:tcPr>
            <w:tcW w:w="0" w:type="auto"/>
            <w:gridSpan w:val="3"/>
            <w:tcBorders>
              <w:top w:val="nil"/>
              <w:left w:val="nil"/>
              <w:bottom w:val="nil"/>
              <w:right w:val="nil"/>
            </w:tcBorders>
            <w:shd w:val="clear" w:color="auto" w:fill="auto"/>
            <w:noWrap/>
            <w:vAlign w:val="center"/>
            <w:hideMark/>
          </w:tcPr>
          <w:p w:rsidR="006061F9" w:rsidRDefault="006061F9">
            <w:pPr>
              <w:rPr>
                <w:rFonts w:ascii="宋体" w:eastAsia="宋体" w:hAnsi="宋体" w:cs="宋体"/>
                <w:b/>
                <w:bCs/>
                <w:color w:val="000000"/>
                <w:sz w:val="24"/>
                <w:szCs w:val="24"/>
              </w:rPr>
            </w:pPr>
            <w:r>
              <w:rPr>
                <w:rFonts w:hint="eastAsia"/>
                <w:b/>
                <w:bCs/>
                <w:color w:val="000000"/>
              </w:rPr>
              <w:t>三、理财产品费用、收益分析与计算</w:t>
            </w:r>
          </w:p>
        </w:tc>
      </w:tr>
      <w:tr w:rsidR="006061F9" w:rsidTr="006061F9">
        <w:trPr>
          <w:trHeight w:val="270"/>
        </w:trPr>
        <w:tc>
          <w:tcPr>
            <w:tcW w:w="0" w:type="auto"/>
            <w:gridSpan w:val="3"/>
            <w:tcBorders>
              <w:top w:val="nil"/>
              <w:left w:val="nil"/>
              <w:bottom w:val="nil"/>
              <w:right w:val="nil"/>
            </w:tcBorders>
            <w:shd w:val="clear" w:color="auto" w:fill="auto"/>
            <w:noWrap/>
            <w:vAlign w:val="center"/>
            <w:hideMark/>
          </w:tcPr>
          <w:p w:rsidR="006061F9" w:rsidRDefault="006061F9">
            <w:pPr>
              <w:rPr>
                <w:rFonts w:ascii="宋体" w:eastAsia="宋体" w:hAnsi="宋体" w:cs="宋体"/>
                <w:b/>
                <w:bCs/>
                <w:color w:val="000000"/>
                <w:szCs w:val="21"/>
              </w:rPr>
            </w:pPr>
            <w:r>
              <w:rPr>
                <w:rFonts w:hint="eastAsia"/>
                <w:b/>
                <w:bCs/>
                <w:color w:val="000000"/>
                <w:szCs w:val="21"/>
              </w:rPr>
              <w:t xml:space="preserve">    1 </w:t>
            </w:r>
            <w:r>
              <w:rPr>
                <w:rFonts w:hint="eastAsia"/>
                <w:b/>
                <w:bCs/>
                <w:color w:val="000000"/>
                <w:szCs w:val="21"/>
              </w:rPr>
              <w:t>、理财资金所承担的相关费用及收益</w:t>
            </w:r>
          </w:p>
        </w:tc>
      </w:tr>
      <w:tr w:rsidR="006061F9" w:rsidTr="006061F9">
        <w:trPr>
          <w:trHeight w:val="3510"/>
        </w:trPr>
        <w:tc>
          <w:tcPr>
            <w:tcW w:w="8240" w:type="dxa"/>
            <w:gridSpan w:val="3"/>
            <w:tcBorders>
              <w:top w:val="nil"/>
              <w:left w:val="nil"/>
              <w:bottom w:val="nil"/>
              <w:right w:val="nil"/>
            </w:tcBorders>
            <w:shd w:val="clear" w:color="auto" w:fill="auto"/>
            <w:vAlign w:val="center"/>
            <w:hideMark/>
          </w:tcPr>
          <w:p w:rsidR="006061F9" w:rsidRDefault="006061F9">
            <w:pPr>
              <w:rPr>
                <w:rFonts w:ascii="宋体" w:eastAsia="宋体" w:hAnsi="宋体" w:cs="宋体"/>
                <w:sz w:val="22"/>
              </w:rPr>
            </w:pPr>
            <w:r>
              <w:rPr>
                <w:rFonts w:hint="eastAsia"/>
                <w:sz w:val="22"/>
              </w:rPr>
              <w:t xml:space="preserve">    </w:t>
            </w:r>
            <w:r>
              <w:rPr>
                <w:rFonts w:hint="eastAsia"/>
                <w:sz w:val="22"/>
              </w:rPr>
              <w:t>销售手续费：销售手续费由平安银行收取，本期为</w:t>
            </w:r>
            <w:r>
              <w:rPr>
                <w:rFonts w:hint="eastAsia"/>
                <w:sz w:val="22"/>
              </w:rPr>
              <w:t>0-0.80%</w:t>
            </w:r>
            <w:r>
              <w:rPr>
                <w:rFonts w:hint="eastAsia"/>
                <w:sz w:val="22"/>
              </w:rPr>
              <w:t>。计算公式为：销售手续费</w:t>
            </w:r>
            <w:r>
              <w:rPr>
                <w:rFonts w:hint="eastAsia"/>
                <w:sz w:val="22"/>
              </w:rPr>
              <w:t>=</w:t>
            </w:r>
            <w:r>
              <w:rPr>
                <w:rFonts w:hint="eastAsia"/>
                <w:sz w:val="22"/>
              </w:rPr>
              <w:t>理财资金总额×销售手续费率×理财天数÷</w:t>
            </w:r>
            <w:r>
              <w:rPr>
                <w:rFonts w:hint="eastAsia"/>
                <w:sz w:val="22"/>
              </w:rPr>
              <w:t>365</w:t>
            </w:r>
            <w:r>
              <w:rPr>
                <w:rFonts w:hint="eastAsia"/>
                <w:sz w:val="22"/>
              </w:rPr>
              <w:t>。销售手续费在产品终止后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资金保管费：资金保管费由平安银行收取，本期为</w:t>
            </w:r>
            <w:r>
              <w:rPr>
                <w:rFonts w:hint="eastAsia"/>
                <w:sz w:val="22"/>
              </w:rPr>
              <w:t>0-0.20%</w:t>
            </w:r>
            <w:r>
              <w:rPr>
                <w:rFonts w:hint="eastAsia"/>
                <w:sz w:val="22"/>
              </w:rPr>
              <w:t>。计算公式为：资金保管费</w:t>
            </w:r>
            <w:r>
              <w:rPr>
                <w:rFonts w:hint="eastAsia"/>
                <w:sz w:val="22"/>
              </w:rPr>
              <w:t>=</w:t>
            </w:r>
            <w:r>
              <w:rPr>
                <w:rFonts w:hint="eastAsia"/>
                <w:sz w:val="22"/>
              </w:rPr>
              <w:t>理财资金总额×资金保管费率×理财天数÷</w:t>
            </w:r>
            <w:r>
              <w:rPr>
                <w:rFonts w:hint="eastAsia"/>
                <w:sz w:val="22"/>
              </w:rPr>
              <w:t>365</w:t>
            </w:r>
            <w:r>
              <w:rPr>
                <w:rFonts w:hint="eastAsia"/>
                <w:sz w:val="22"/>
              </w:rPr>
              <w:t>。资金保管费在产品终止后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资产管理费：资产管理费由平安银行收取，本期为</w:t>
            </w:r>
            <w:r>
              <w:rPr>
                <w:rFonts w:hint="eastAsia"/>
                <w:sz w:val="22"/>
              </w:rPr>
              <w:t>0-0.80%</w:t>
            </w:r>
            <w:r>
              <w:rPr>
                <w:rFonts w:hint="eastAsia"/>
                <w:sz w:val="22"/>
              </w:rPr>
              <w:t>。计算公式为：资产管理费</w:t>
            </w:r>
            <w:r>
              <w:rPr>
                <w:rFonts w:hint="eastAsia"/>
                <w:sz w:val="22"/>
              </w:rPr>
              <w:t>=</w:t>
            </w:r>
            <w:r>
              <w:rPr>
                <w:rFonts w:hint="eastAsia"/>
                <w:sz w:val="22"/>
              </w:rPr>
              <w:t>理财资金总额×资产管理费率×理财天数÷</w:t>
            </w:r>
            <w:r>
              <w:rPr>
                <w:rFonts w:hint="eastAsia"/>
                <w:sz w:val="22"/>
              </w:rPr>
              <w:t>365</w:t>
            </w:r>
            <w:r>
              <w:rPr>
                <w:rFonts w:hint="eastAsia"/>
                <w:sz w:val="22"/>
              </w:rPr>
              <w:t>。</w:t>
            </w:r>
            <w:r>
              <w:rPr>
                <w:rFonts w:hint="eastAsia"/>
                <w:sz w:val="22"/>
              </w:rPr>
              <w:br/>
            </w:r>
            <w:r>
              <w:rPr>
                <w:rFonts w:hint="eastAsia"/>
                <w:sz w:val="22"/>
              </w:rPr>
              <w:t>资产投资收益需优先扣除相关法律规定的税费以及上述费用后，再分配本金和收益。分配完客户本金和收益后的剩余部分为平安银行所有。</w:t>
            </w:r>
            <w:r>
              <w:rPr>
                <w:rFonts w:hint="eastAsia"/>
                <w:sz w:val="22"/>
              </w:rPr>
              <w:br/>
              <w:t xml:space="preserve">    </w:t>
            </w:r>
            <w:r>
              <w:rPr>
                <w:rFonts w:hint="eastAsia"/>
                <w:sz w:val="22"/>
              </w:rPr>
              <w:t>对理财本金所产生的理财收益，平安银行暂不代扣代缴税。但若依照国家法律要求或税务机关的行政命令要求缴纳收益所得税，平安银行有义务代扣代缴投资者、受益人承担的税费，平安银行所代缴税费将从理财产品资产中扣除。</w:t>
            </w:r>
          </w:p>
        </w:tc>
      </w:tr>
      <w:tr w:rsidR="006061F9" w:rsidTr="006061F9">
        <w:trPr>
          <w:trHeight w:val="270"/>
        </w:trPr>
        <w:tc>
          <w:tcPr>
            <w:tcW w:w="0" w:type="auto"/>
            <w:gridSpan w:val="3"/>
            <w:tcBorders>
              <w:top w:val="nil"/>
              <w:left w:val="nil"/>
              <w:bottom w:val="nil"/>
              <w:right w:val="nil"/>
            </w:tcBorders>
            <w:shd w:val="clear" w:color="auto" w:fill="auto"/>
            <w:noWrap/>
            <w:vAlign w:val="center"/>
            <w:hideMark/>
          </w:tcPr>
          <w:p w:rsidR="006061F9" w:rsidRDefault="006061F9">
            <w:pPr>
              <w:rPr>
                <w:rFonts w:ascii="宋体" w:eastAsia="宋体" w:hAnsi="宋体" w:cs="宋体"/>
                <w:b/>
                <w:bCs/>
                <w:color w:val="000000"/>
                <w:szCs w:val="21"/>
              </w:rPr>
            </w:pPr>
            <w:r>
              <w:rPr>
                <w:rFonts w:hint="eastAsia"/>
                <w:b/>
                <w:bCs/>
                <w:color w:val="000000"/>
                <w:szCs w:val="21"/>
              </w:rPr>
              <w:t xml:space="preserve">    2</w:t>
            </w:r>
            <w:r>
              <w:rPr>
                <w:rFonts w:hint="eastAsia"/>
                <w:b/>
                <w:bCs/>
                <w:color w:val="000000"/>
                <w:szCs w:val="21"/>
              </w:rPr>
              <w:t>、客户预期最高年化收益率：</w:t>
            </w:r>
            <w:r w:rsidR="000B4277">
              <w:rPr>
                <w:rFonts w:hint="eastAsia"/>
                <w:b/>
                <w:bCs/>
                <w:color w:val="000000"/>
                <w:szCs w:val="21"/>
              </w:rPr>
              <w:t>100</w:t>
            </w:r>
            <w:r w:rsidR="000B4277">
              <w:rPr>
                <w:rFonts w:hint="eastAsia"/>
                <w:b/>
                <w:bCs/>
                <w:color w:val="000000"/>
                <w:szCs w:val="21"/>
              </w:rPr>
              <w:t>万</w:t>
            </w:r>
            <w:r>
              <w:rPr>
                <w:rFonts w:hint="eastAsia"/>
                <w:b/>
                <w:bCs/>
                <w:color w:val="000000"/>
                <w:szCs w:val="21"/>
              </w:rPr>
              <w:t>以下</w:t>
            </w:r>
            <w:r w:rsidR="000B4277">
              <w:rPr>
                <w:rFonts w:hint="eastAsia"/>
                <w:b/>
                <w:bCs/>
                <w:color w:val="000000"/>
                <w:szCs w:val="21"/>
              </w:rPr>
              <w:t>5.65</w:t>
            </w:r>
            <w:r>
              <w:rPr>
                <w:rFonts w:hint="eastAsia"/>
                <w:b/>
                <w:bCs/>
                <w:color w:val="000000"/>
                <w:szCs w:val="21"/>
              </w:rPr>
              <w:t>%</w:t>
            </w:r>
            <w:r>
              <w:rPr>
                <w:rFonts w:hint="eastAsia"/>
                <w:b/>
                <w:bCs/>
                <w:color w:val="000000"/>
                <w:szCs w:val="21"/>
              </w:rPr>
              <w:t>，</w:t>
            </w:r>
            <w:r w:rsidR="000B4277">
              <w:rPr>
                <w:rFonts w:hint="eastAsia"/>
                <w:b/>
                <w:bCs/>
                <w:color w:val="000000"/>
                <w:szCs w:val="21"/>
              </w:rPr>
              <w:t>100</w:t>
            </w:r>
            <w:r w:rsidR="000B4277">
              <w:rPr>
                <w:rFonts w:hint="eastAsia"/>
                <w:b/>
                <w:bCs/>
                <w:color w:val="000000"/>
                <w:szCs w:val="21"/>
              </w:rPr>
              <w:t>万</w:t>
            </w:r>
            <w:r>
              <w:rPr>
                <w:rFonts w:hint="eastAsia"/>
                <w:b/>
                <w:bCs/>
                <w:color w:val="000000"/>
                <w:szCs w:val="21"/>
              </w:rPr>
              <w:t>（含）以上</w:t>
            </w:r>
            <w:r w:rsidR="000B4277">
              <w:rPr>
                <w:rFonts w:hint="eastAsia"/>
                <w:b/>
                <w:bCs/>
                <w:color w:val="000000"/>
                <w:szCs w:val="21"/>
              </w:rPr>
              <w:t>5.75</w:t>
            </w:r>
            <w:r>
              <w:rPr>
                <w:rFonts w:hint="eastAsia"/>
                <w:b/>
                <w:bCs/>
                <w:color w:val="000000"/>
                <w:szCs w:val="21"/>
              </w:rPr>
              <w:t>%</w:t>
            </w:r>
          </w:p>
        </w:tc>
      </w:tr>
      <w:tr w:rsidR="006061F9" w:rsidTr="006061F9">
        <w:trPr>
          <w:trHeight w:val="555"/>
        </w:trPr>
        <w:tc>
          <w:tcPr>
            <w:tcW w:w="8240" w:type="dxa"/>
            <w:gridSpan w:val="3"/>
            <w:tcBorders>
              <w:top w:val="nil"/>
              <w:left w:val="nil"/>
              <w:bottom w:val="nil"/>
              <w:right w:val="nil"/>
            </w:tcBorders>
            <w:shd w:val="clear" w:color="auto" w:fill="auto"/>
            <w:vAlign w:val="center"/>
            <w:hideMark/>
          </w:tcPr>
          <w:p w:rsidR="006061F9" w:rsidRDefault="006061F9">
            <w:pPr>
              <w:rPr>
                <w:rFonts w:ascii="宋体" w:eastAsia="宋体" w:hAnsi="宋体" w:cs="宋体"/>
                <w:color w:val="000000"/>
                <w:sz w:val="22"/>
              </w:rPr>
            </w:pPr>
            <w:r>
              <w:rPr>
                <w:rFonts w:hint="eastAsia"/>
                <w:color w:val="000000"/>
                <w:sz w:val="22"/>
              </w:rPr>
              <w:t xml:space="preserve">    </w:t>
            </w:r>
            <w:r>
              <w:rPr>
                <w:rFonts w:hint="eastAsia"/>
                <w:color w:val="000000"/>
                <w:sz w:val="22"/>
              </w:rPr>
              <w:t>客户预期最高年化收益率根据当前可投资资产的预期加权投资收益率扣除银行销售手续费率、资金保管费率、资产管理费率后测算而得。</w:t>
            </w:r>
          </w:p>
        </w:tc>
      </w:tr>
      <w:tr w:rsidR="006061F9" w:rsidTr="006061F9">
        <w:trPr>
          <w:trHeight w:val="270"/>
        </w:trPr>
        <w:tc>
          <w:tcPr>
            <w:tcW w:w="0" w:type="auto"/>
            <w:gridSpan w:val="2"/>
            <w:tcBorders>
              <w:top w:val="nil"/>
              <w:left w:val="nil"/>
              <w:bottom w:val="nil"/>
              <w:right w:val="nil"/>
            </w:tcBorders>
            <w:shd w:val="clear" w:color="auto" w:fill="auto"/>
            <w:noWrap/>
            <w:vAlign w:val="center"/>
            <w:hideMark/>
          </w:tcPr>
          <w:p w:rsidR="006061F9" w:rsidRDefault="006061F9">
            <w:pPr>
              <w:rPr>
                <w:rFonts w:ascii="宋体" w:eastAsia="宋体" w:hAnsi="宋体" w:cs="宋体"/>
                <w:b/>
                <w:bCs/>
                <w:color w:val="000000"/>
                <w:szCs w:val="21"/>
              </w:rPr>
            </w:pPr>
            <w:r>
              <w:rPr>
                <w:rFonts w:hint="eastAsia"/>
                <w:b/>
                <w:bCs/>
                <w:color w:val="000000"/>
                <w:szCs w:val="21"/>
              </w:rPr>
              <w:t xml:space="preserve">    3</w:t>
            </w:r>
            <w:r>
              <w:rPr>
                <w:rFonts w:hint="eastAsia"/>
                <w:b/>
                <w:bCs/>
                <w:color w:val="000000"/>
                <w:szCs w:val="21"/>
              </w:rPr>
              <w:t>、实际收益计算公式</w:t>
            </w:r>
            <w:r>
              <w:rPr>
                <w:rFonts w:hint="eastAsia"/>
                <w:b/>
                <w:bCs/>
                <w:color w:val="000000"/>
                <w:szCs w:val="21"/>
              </w:rPr>
              <w:t xml:space="preserve"> </w:t>
            </w:r>
          </w:p>
        </w:tc>
        <w:tc>
          <w:tcPr>
            <w:tcW w:w="0" w:type="auto"/>
            <w:tcBorders>
              <w:top w:val="nil"/>
              <w:left w:val="nil"/>
              <w:bottom w:val="nil"/>
              <w:right w:val="nil"/>
            </w:tcBorders>
            <w:shd w:val="clear" w:color="auto" w:fill="auto"/>
            <w:noWrap/>
            <w:vAlign w:val="center"/>
            <w:hideMark/>
          </w:tcPr>
          <w:p w:rsidR="006061F9" w:rsidRDefault="006061F9">
            <w:pPr>
              <w:rPr>
                <w:rFonts w:ascii="宋体" w:eastAsia="宋体" w:hAnsi="宋体" w:cs="宋体"/>
                <w:color w:val="000000"/>
                <w:sz w:val="22"/>
              </w:rPr>
            </w:pPr>
          </w:p>
        </w:tc>
      </w:tr>
      <w:tr w:rsidR="006061F9" w:rsidTr="006061F9">
        <w:trPr>
          <w:trHeight w:val="555"/>
        </w:trPr>
        <w:tc>
          <w:tcPr>
            <w:tcW w:w="8240" w:type="dxa"/>
            <w:gridSpan w:val="3"/>
            <w:tcBorders>
              <w:top w:val="nil"/>
              <w:left w:val="nil"/>
              <w:bottom w:val="nil"/>
              <w:right w:val="nil"/>
            </w:tcBorders>
            <w:shd w:val="clear" w:color="auto" w:fill="auto"/>
            <w:vAlign w:val="center"/>
            <w:hideMark/>
          </w:tcPr>
          <w:p w:rsidR="006061F9" w:rsidRDefault="006061F9">
            <w:pPr>
              <w:rPr>
                <w:rFonts w:ascii="宋体" w:eastAsia="宋体" w:hAnsi="宋体" w:cs="宋体"/>
                <w:color w:val="000000"/>
                <w:sz w:val="22"/>
              </w:rPr>
            </w:pPr>
            <w:r>
              <w:rPr>
                <w:rFonts w:hint="eastAsia"/>
                <w:color w:val="000000"/>
                <w:sz w:val="22"/>
              </w:rPr>
              <w:t xml:space="preserve">    </w:t>
            </w:r>
            <w:r>
              <w:rPr>
                <w:rFonts w:hint="eastAsia"/>
                <w:color w:val="000000"/>
                <w:sz w:val="22"/>
              </w:rPr>
              <w:t>实际理财收益额按下式计算：</w:t>
            </w:r>
            <w:r>
              <w:rPr>
                <w:rFonts w:hint="eastAsia"/>
                <w:color w:val="000000"/>
                <w:sz w:val="22"/>
              </w:rPr>
              <w:br/>
              <w:t xml:space="preserve">    </w:t>
            </w:r>
            <w:r>
              <w:rPr>
                <w:rFonts w:hint="eastAsia"/>
                <w:color w:val="000000"/>
                <w:sz w:val="22"/>
              </w:rPr>
              <w:t>理财收益额</w:t>
            </w:r>
            <w:r>
              <w:rPr>
                <w:rFonts w:hint="eastAsia"/>
                <w:color w:val="000000"/>
                <w:sz w:val="22"/>
              </w:rPr>
              <w:t xml:space="preserve"> = </w:t>
            </w:r>
            <w:r>
              <w:rPr>
                <w:rFonts w:hint="eastAsia"/>
                <w:color w:val="000000"/>
                <w:sz w:val="22"/>
              </w:rPr>
              <w:t>理财金额</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当期实际年化收益率</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实际理财天数</w:t>
            </w:r>
            <w:r>
              <w:rPr>
                <w:rFonts w:hint="eastAsia"/>
                <w:color w:val="000000"/>
                <w:sz w:val="22"/>
              </w:rPr>
              <w:t>/365</w:t>
            </w:r>
          </w:p>
        </w:tc>
      </w:tr>
      <w:tr w:rsidR="006061F9" w:rsidTr="006061F9">
        <w:trPr>
          <w:trHeight w:val="270"/>
        </w:trPr>
        <w:tc>
          <w:tcPr>
            <w:tcW w:w="0" w:type="auto"/>
            <w:gridSpan w:val="2"/>
            <w:tcBorders>
              <w:top w:val="nil"/>
              <w:left w:val="nil"/>
              <w:bottom w:val="nil"/>
              <w:right w:val="nil"/>
            </w:tcBorders>
            <w:shd w:val="clear" w:color="auto" w:fill="auto"/>
            <w:noWrap/>
            <w:vAlign w:val="center"/>
            <w:hideMark/>
          </w:tcPr>
          <w:p w:rsidR="006061F9" w:rsidRDefault="006061F9">
            <w:pPr>
              <w:rPr>
                <w:rFonts w:ascii="宋体" w:eastAsia="宋体" w:hAnsi="宋体" w:cs="宋体"/>
                <w:b/>
                <w:bCs/>
                <w:color w:val="000000"/>
                <w:szCs w:val="21"/>
              </w:rPr>
            </w:pPr>
            <w:r>
              <w:rPr>
                <w:rFonts w:hint="eastAsia"/>
                <w:b/>
                <w:bCs/>
                <w:color w:val="000000"/>
                <w:szCs w:val="21"/>
              </w:rPr>
              <w:t xml:space="preserve">    4</w:t>
            </w:r>
            <w:r>
              <w:rPr>
                <w:rFonts w:hint="eastAsia"/>
                <w:b/>
                <w:bCs/>
                <w:color w:val="000000"/>
                <w:szCs w:val="21"/>
              </w:rPr>
              <w:t>、理财收益率测算方法</w:t>
            </w:r>
          </w:p>
        </w:tc>
        <w:tc>
          <w:tcPr>
            <w:tcW w:w="0" w:type="auto"/>
            <w:tcBorders>
              <w:top w:val="nil"/>
              <w:left w:val="nil"/>
              <w:bottom w:val="nil"/>
              <w:right w:val="nil"/>
            </w:tcBorders>
            <w:shd w:val="clear" w:color="auto" w:fill="auto"/>
            <w:noWrap/>
            <w:vAlign w:val="center"/>
            <w:hideMark/>
          </w:tcPr>
          <w:p w:rsidR="006061F9" w:rsidRDefault="006061F9">
            <w:pPr>
              <w:rPr>
                <w:rFonts w:ascii="宋体" w:eastAsia="宋体" w:hAnsi="宋体" w:cs="宋体"/>
                <w:color w:val="000000"/>
                <w:sz w:val="22"/>
              </w:rPr>
            </w:pPr>
          </w:p>
        </w:tc>
      </w:tr>
      <w:tr w:rsidR="006061F9" w:rsidTr="006061F9">
        <w:trPr>
          <w:trHeight w:val="1080"/>
        </w:trPr>
        <w:tc>
          <w:tcPr>
            <w:tcW w:w="8240" w:type="dxa"/>
            <w:gridSpan w:val="3"/>
            <w:tcBorders>
              <w:top w:val="nil"/>
              <w:left w:val="nil"/>
              <w:bottom w:val="nil"/>
              <w:right w:val="nil"/>
            </w:tcBorders>
            <w:shd w:val="clear" w:color="auto" w:fill="auto"/>
            <w:vAlign w:val="center"/>
            <w:hideMark/>
          </w:tcPr>
          <w:p w:rsidR="006061F9" w:rsidRDefault="006061F9">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他金融工具。</w:t>
            </w:r>
          </w:p>
        </w:tc>
      </w:tr>
      <w:tr w:rsidR="006061F9" w:rsidTr="006061F9">
        <w:trPr>
          <w:trHeight w:val="570"/>
        </w:trPr>
        <w:tc>
          <w:tcPr>
            <w:tcW w:w="8240" w:type="dxa"/>
            <w:gridSpan w:val="3"/>
            <w:tcBorders>
              <w:top w:val="nil"/>
              <w:left w:val="nil"/>
              <w:bottom w:val="nil"/>
              <w:right w:val="nil"/>
            </w:tcBorders>
            <w:shd w:val="clear" w:color="auto" w:fill="auto"/>
            <w:vAlign w:val="center"/>
            <w:hideMark/>
          </w:tcPr>
          <w:p w:rsidR="006061F9" w:rsidRDefault="006061F9">
            <w:pPr>
              <w:rPr>
                <w:rFonts w:ascii="宋体" w:eastAsia="宋体" w:hAnsi="宋体" w:cs="宋体"/>
                <w:color w:val="000000"/>
                <w:sz w:val="22"/>
              </w:rPr>
            </w:pPr>
            <w:r>
              <w:rPr>
                <w:rFonts w:hint="eastAsia"/>
                <w:color w:val="000000"/>
                <w:sz w:val="22"/>
              </w:rPr>
              <w:t xml:space="preserve">    </w:t>
            </w:r>
            <w:r>
              <w:rPr>
                <w:rFonts w:hint="eastAsia"/>
                <w:color w:val="000000"/>
                <w:sz w:val="22"/>
              </w:rPr>
              <w:t>根据组合资产的收益，扣除产品的成本，本期理财产品预期最高年化收益率为</w:t>
            </w:r>
            <w:r w:rsidR="000B4277">
              <w:rPr>
                <w:rFonts w:hint="eastAsia"/>
                <w:color w:val="000000"/>
                <w:sz w:val="22"/>
              </w:rPr>
              <w:t>100</w:t>
            </w:r>
            <w:r w:rsidR="000B4277">
              <w:rPr>
                <w:rFonts w:hint="eastAsia"/>
                <w:color w:val="000000"/>
                <w:sz w:val="22"/>
              </w:rPr>
              <w:t>万</w:t>
            </w:r>
            <w:r>
              <w:rPr>
                <w:rFonts w:hint="eastAsia"/>
                <w:color w:val="000000"/>
                <w:sz w:val="22"/>
              </w:rPr>
              <w:t>以下</w:t>
            </w:r>
            <w:r w:rsidR="000B4277">
              <w:rPr>
                <w:rFonts w:hint="eastAsia"/>
                <w:color w:val="000000"/>
                <w:sz w:val="22"/>
              </w:rPr>
              <w:t>5.65</w:t>
            </w:r>
            <w:r>
              <w:rPr>
                <w:rFonts w:hint="eastAsia"/>
                <w:color w:val="000000"/>
                <w:sz w:val="22"/>
              </w:rPr>
              <w:t>%</w:t>
            </w:r>
            <w:r>
              <w:rPr>
                <w:rFonts w:hint="eastAsia"/>
                <w:color w:val="000000"/>
                <w:sz w:val="22"/>
              </w:rPr>
              <w:t>，</w:t>
            </w:r>
            <w:r w:rsidR="000B4277">
              <w:rPr>
                <w:rFonts w:hint="eastAsia"/>
                <w:color w:val="000000"/>
                <w:sz w:val="22"/>
              </w:rPr>
              <w:t>100</w:t>
            </w:r>
            <w:r w:rsidR="000B4277">
              <w:rPr>
                <w:rFonts w:hint="eastAsia"/>
                <w:color w:val="000000"/>
                <w:sz w:val="22"/>
              </w:rPr>
              <w:t>万</w:t>
            </w:r>
            <w:r>
              <w:rPr>
                <w:rFonts w:hint="eastAsia"/>
                <w:color w:val="000000"/>
                <w:sz w:val="22"/>
              </w:rPr>
              <w:t>（含）以上</w:t>
            </w:r>
            <w:r w:rsidR="000B4277">
              <w:rPr>
                <w:rFonts w:hint="eastAsia"/>
                <w:color w:val="000000"/>
                <w:sz w:val="22"/>
              </w:rPr>
              <w:t>5.75</w:t>
            </w:r>
            <w:r>
              <w:rPr>
                <w:rFonts w:hint="eastAsia"/>
                <w:color w:val="000000"/>
                <w:sz w:val="22"/>
              </w:rPr>
              <w:t>%</w:t>
            </w:r>
          </w:p>
        </w:tc>
      </w:tr>
      <w:tr w:rsidR="006061F9" w:rsidTr="006061F9">
        <w:trPr>
          <w:trHeight w:val="270"/>
        </w:trPr>
        <w:tc>
          <w:tcPr>
            <w:tcW w:w="0" w:type="auto"/>
            <w:gridSpan w:val="3"/>
            <w:tcBorders>
              <w:top w:val="nil"/>
              <w:left w:val="nil"/>
              <w:bottom w:val="nil"/>
              <w:right w:val="nil"/>
            </w:tcBorders>
            <w:shd w:val="clear" w:color="auto" w:fill="auto"/>
            <w:noWrap/>
            <w:vAlign w:val="center"/>
            <w:hideMark/>
          </w:tcPr>
          <w:p w:rsidR="006061F9" w:rsidRDefault="006061F9">
            <w:pPr>
              <w:rPr>
                <w:rFonts w:ascii="宋体" w:eastAsia="宋体" w:hAnsi="宋体" w:cs="宋体"/>
                <w:b/>
                <w:bCs/>
                <w:color w:val="000000"/>
                <w:szCs w:val="21"/>
              </w:rPr>
            </w:pPr>
            <w:r>
              <w:rPr>
                <w:rFonts w:hint="eastAsia"/>
                <w:b/>
                <w:bCs/>
                <w:color w:val="000000"/>
                <w:szCs w:val="21"/>
              </w:rPr>
              <w:t xml:space="preserve">    </w:t>
            </w:r>
            <w:r>
              <w:rPr>
                <w:rFonts w:hint="eastAsia"/>
                <w:b/>
                <w:bCs/>
                <w:color w:val="000000"/>
                <w:szCs w:val="21"/>
              </w:rPr>
              <w:t>测算收益不等于实际收益，投资须谨慎。</w:t>
            </w:r>
          </w:p>
        </w:tc>
      </w:tr>
      <w:tr w:rsidR="006061F9" w:rsidTr="006061F9">
        <w:trPr>
          <w:trHeight w:val="270"/>
        </w:trPr>
        <w:tc>
          <w:tcPr>
            <w:tcW w:w="0" w:type="auto"/>
            <w:tcBorders>
              <w:top w:val="nil"/>
              <w:left w:val="nil"/>
              <w:bottom w:val="nil"/>
              <w:right w:val="nil"/>
            </w:tcBorders>
            <w:shd w:val="clear" w:color="auto" w:fill="auto"/>
            <w:noWrap/>
            <w:vAlign w:val="center"/>
            <w:hideMark/>
          </w:tcPr>
          <w:p w:rsidR="006061F9" w:rsidRDefault="006061F9">
            <w:pPr>
              <w:rPr>
                <w:rFonts w:ascii="宋体" w:eastAsia="宋体" w:hAnsi="宋体" w:cs="宋体"/>
                <w:b/>
                <w:bCs/>
                <w:color w:val="000000"/>
                <w:szCs w:val="21"/>
              </w:rPr>
            </w:pPr>
            <w:r>
              <w:rPr>
                <w:rFonts w:hint="eastAsia"/>
                <w:b/>
                <w:bCs/>
                <w:color w:val="000000"/>
                <w:szCs w:val="21"/>
              </w:rPr>
              <w:t xml:space="preserve">    5</w:t>
            </w:r>
            <w:r>
              <w:rPr>
                <w:rFonts w:hint="eastAsia"/>
                <w:b/>
                <w:bCs/>
                <w:color w:val="000000"/>
                <w:szCs w:val="21"/>
              </w:rPr>
              <w:t>、情景分析</w:t>
            </w:r>
          </w:p>
        </w:tc>
        <w:tc>
          <w:tcPr>
            <w:tcW w:w="0" w:type="auto"/>
            <w:tcBorders>
              <w:top w:val="nil"/>
              <w:left w:val="nil"/>
              <w:bottom w:val="nil"/>
              <w:right w:val="nil"/>
            </w:tcBorders>
            <w:shd w:val="clear" w:color="auto" w:fill="auto"/>
            <w:noWrap/>
            <w:vAlign w:val="center"/>
            <w:hideMark/>
          </w:tcPr>
          <w:p w:rsidR="006061F9" w:rsidRDefault="006061F9">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6061F9" w:rsidRDefault="006061F9">
            <w:pPr>
              <w:rPr>
                <w:rFonts w:ascii="宋体" w:eastAsia="宋体" w:hAnsi="宋体" w:cs="宋体"/>
                <w:color w:val="000000"/>
                <w:sz w:val="22"/>
              </w:rPr>
            </w:pPr>
          </w:p>
        </w:tc>
      </w:tr>
      <w:tr w:rsidR="006061F9" w:rsidTr="006061F9">
        <w:trPr>
          <w:trHeight w:val="270"/>
        </w:trPr>
        <w:tc>
          <w:tcPr>
            <w:tcW w:w="8240" w:type="dxa"/>
            <w:gridSpan w:val="3"/>
            <w:tcBorders>
              <w:top w:val="nil"/>
              <w:left w:val="nil"/>
              <w:bottom w:val="nil"/>
              <w:right w:val="nil"/>
            </w:tcBorders>
            <w:shd w:val="clear" w:color="auto" w:fill="auto"/>
            <w:vAlign w:val="center"/>
            <w:hideMark/>
          </w:tcPr>
          <w:p w:rsidR="006061F9" w:rsidRDefault="006061F9">
            <w:pPr>
              <w:rPr>
                <w:rFonts w:ascii="宋体" w:eastAsia="宋体" w:hAnsi="宋体" w:cs="宋体"/>
                <w:color w:val="000000"/>
                <w:sz w:val="22"/>
              </w:rPr>
            </w:pPr>
            <w:r>
              <w:rPr>
                <w:rFonts w:hint="eastAsia"/>
                <w:color w:val="000000"/>
                <w:sz w:val="22"/>
              </w:rPr>
              <w:t xml:space="preserve">    </w:t>
            </w:r>
            <w:r>
              <w:rPr>
                <w:rFonts w:hint="eastAsia"/>
                <w:color w:val="000000"/>
                <w:sz w:val="22"/>
              </w:rPr>
              <w:t>情景</w:t>
            </w:r>
            <w:r>
              <w:rPr>
                <w:rFonts w:hint="eastAsia"/>
                <w:color w:val="000000"/>
                <w:sz w:val="22"/>
              </w:rPr>
              <w:t>1</w:t>
            </w:r>
            <w:r>
              <w:rPr>
                <w:rFonts w:hint="eastAsia"/>
                <w:color w:val="000000"/>
                <w:sz w:val="22"/>
              </w:rPr>
              <w:t>．本理财计划成立，投资者持有至到期。</w:t>
            </w:r>
          </w:p>
        </w:tc>
      </w:tr>
      <w:tr w:rsidR="006061F9" w:rsidTr="006061F9">
        <w:trPr>
          <w:trHeight w:val="1125"/>
        </w:trPr>
        <w:tc>
          <w:tcPr>
            <w:tcW w:w="8240" w:type="dxa"/>
            <w:gridSpan w:val="3"/>
            <w:tcBorders>
              <w:top w:val="nil"/>
              <w:left w:val="nil"/>
              <w:bottom w:val="nil"/>
              <w:right w:val="nil"/>
            </w:tcBorders>
            <w:shd w:val="clear" w:color="auto" w:fill="auto"/>
            <w:vAlign w:val="center"/>
            <w:hideMark/>
          </w:tcPr>
          <w:p w:rsidR="006061F9" w:rsidRDefault="006061F9">
            <w:pPr>
              <w:rPr>
                <w:rFonts w:ascii="宋体" w:eastAsia="宋体" w:hAnsi="宋体" w:cs="宋体"/>
                <w:color w:val="000000"/>
                <w:sz w:val="22"/>
              </w:rPr>
            </w:pPr>
            <w:r>
              <w:rPr>
                <w:rFonts w:hint="eastAsia"/>
                <w:color w:val="000000"/>
                <w:sz w:val="22"/>
              </w:rPr>
              <w:t xml:space="preserve">    </w:t>
            </w:r>
            <w:r>
              <w:rPr>
                <w:rFonts w:hint="eastAsia"/>
                <w:color w:val="000000"/>
                <w:sz w:val="22"/>
              </w:rPr>
              <w:t>若本理财计划成立，假定理财本金为人民币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85</w:t>
            </w:r>
            <w:r>
              <w:rPr>
                <w:rFonts w:hint="eastAsia"/>
                <w:color w:val="000000"/>
                <w:sz w:val="22"/>
              </w:rPr>
              <w:t>天，客户预期最高年化收益率为</w:t>
            </w:r>
            <w:r w:rsidR="000B4277">
              <w:rPr>
                <w:rFonts w:hint="eastAsia"/>
                <w:color w:val="000000"/>
                <w:sz w:val="22"/>
              </w:rPr>
              <w:t>5.75</w:t>
            </w:r>
            <w:r>
              <w:rPr>
                <w:rFonts w:hint="eastAsia"/>
                <w:color w:val="000000"/>
                <w:sz w:val="22"/>
              </w:rPr>
              <w:t>%</w:t>
            </w:r>
            <w:r>
              <w:rPr>
                <w:rFonts w:hint="eastAsia"/>
                <w:color w:val="000000"/>
                <w:sz w:val="22"/>
              </w:rPr>
              <w:t>，产品结束时，当期实际年化收益率等于客户预期最高年化收益率，则投资者持有到期理财收益为：</w:t>
            </w:r>
            <w:r>
              <w:rPr>
                <w:rFonts w:hint="eastAsia"/>
                <w:color w:val="000000"/>
                <w:sz w:val="22"/>
              </w:rPr>
              <w:t>1,000,000</w:t>
            </w:r>
            <w:r>
              <w:rPr>
                <w:rFonts w:hint="eastAsia"/>
                <w:color w:val="000000"/>
                <w:sz w:val="22"/>
              </w:rPr>
              <w:t>×</w:t>
            </w:r>
            <w:r w:rsidR="000B4277">
              <w:rPr>
                <w:rFonts w:hint="eastAsia"/>
                <w:color w:val="000000"/>
                <w:sz w:val="22"/>
              </w:rPr>
              <w:t>5.75</w:t>
            </w:r>
            <w:r>
              <w:rPr>
                <w:rFonts w:hint="eastAsia"/>
                <w:color w:val="000000"/>
                <w:sz w:val="22"/>
              </w:rPr>
              <w:t>%</w:t>
            </w:r>
            <w:r>
              <w:rPr>
                <w:rFonts w:hint="eastAsia"/>
                <w:color w:val="000000"/>
                <w:sz w:val="22"/>
              </w:rPr>
              <w:t>×</w:t>
            </w:r>
            <w:r w:rsidR="000B4277">
              <w:rPr>
                <w:rFonts w:hint="eastAsia"/>
                <w:color w:val="000000"/>
                <w:sz w:val="22"/>
              </w:rPr>
              <w:t>85/365 =13,390.4</w:t>
            </w:r>
            <w:r>
              <w:rPr>
                <w:rFonts w:hint="eastAsia"/>
                <w:color w:val="000000"/>
                <w:sz w:val="22"/>
              </w:rPr>
              <w:t>1</w:t>
            </w:r>
            <w:r>
              <w:rPr>
                <w:rFonts w:hint="eastAsia"/>
                <w:color w:val="000000"/>
                <w:sz w:val="22"/>
              </w:rPr>
              <w:t>元。</w:t>
            </w:r>
          </w:p>
        </w:tc>
      </w:tr>
      <w:tr w:rsidR="006061F9" w:rsidTr="006061F9">
        <w:trPr>
          <w:trHeight w:val="870"/>
        </w:trPr>
        <w:tc>
          <w:tcPr>
            <w:tcW w:w="8240" w:type="dxa"/>
            <w:gridSpan w:val="3"/>
            <w:tcBorders>
              <w:top w:val="nil"/>
              <w:left w:val="nil"/>
              <w:bottom w:val="nil"/>
              <w:right w:val="nil"/>
            </w:tcBorders>
            <w:shd w:val="clear" w:color="auto" w:fill="auto"/>
            <w:vAlign w:val="center"/>
            <w:hideMark/>
          </w:tcPr>
          <w:p w:rsidR="006061F9" w:rsidRDefault="006061F9">
            <w:pPr>
              <w:rPr>
                <w:rFonts w:ascii="宋体" w:eastAsia="宋体" w:hAnsi="宋体" w:cs="宋体"/>
                <w:color w:val="000000"/>
                <w:sz w:val="22"/>
              </w:rPr>
            </w:pPr>
            <w:r>
              <w:rPr>
                <w:rFonts w:hint="eastAsia"/>
                <w:color w:val="000000"/>
                <w:sz w:val="22"/>
              </w:rPr>
              <w:lastRenderedPageBreak/>
              <w:t xml:space="preserve">    </w:t>
            </w:r>
            <w:r>
              <w:rPr>
                <w:rFonts w:hint="eastAsia"/>
                <w:color w:val="000000"/>
                <w:sz w:val="22"/>
              </w:rPr>
              <w:t>情景</w:t>
            </w:r>
            <w:r>
              <w:rPr>
                <w:rFonts w:hint="eastAsia"/>
                <w:color w:val="000000"/>
                <w:sz w:val="22"/>
              </w:rPr>
              <w:t>2</w:t>
            </w:r>
            <w:r>
              <w:rPr>
                <w:rFonts w:hint="eastAsia"/>
                <w:color w:val="000000"/>
                <w:sz w:val="22"/>
              </w:rPr>
              <w:t>．若本理财产品成立，假定理财本金为人民币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10</w:t>
            </w:r>
            <w:r>
              <w:rPr>
                <w:rFonts w:hint="eastAsia"/>
                <w:color w:val="000000"/>
                <w:sz w:val="22"/>
              </w:rPr>
              <w:t>天，客户预期最高年化收益率为</w:t>
            </w:r>
            <w:r w:rsidR="000B4277">
              <w:rPr>
                <w:rFonts w:hint="eastAsia"/>
                <w:color w:val="000000"/>
                <w:sz w:val="22"/>
              </w:rPr>
              <w:t>5.75</w:t>
            </w:r>
            <w:r>
              <w:rPr>
                <w:rFonts w:hint="eastAsia"/>
                <w:color w:val="000000"/>
                <w:sz w:val="22"/>
              </w:rPr>
              <w:t>%</w:t>
            </w:r>
            <w:r>
              <w:rPr>
                <w:rFonts w:hint="eastAsia"/>
                <w:color w:val="000000"/>
                <w:sz w:val="22"/>
              </w:rPr>
              <w:t>，当期实际年化收益率为</w:t>
            </w:r>
            <w:r>
              <w:rPr>
                <w:rFonts w:hint="eastAsia"/>
                <w:color w:val="000000"/>
                <w:sz w:val="22"/>
              </w:rPr>
              <w:t>1.00%</w:t>
            </w:r>
            <w:r>
              <w:rPr>
                <w:rFonts w:hint="eastAsia"/>
                <w:color w:val="000000"/>
                <w:sz w:val="22"/>
              </w:rPr>
              <w:t>。则投资者持有到期理财收益为：</w:t>
            </w:r>
            <w:r>
              <w:rPr>
                <w:rFonts w:hint="eastAsia"/>
                <w:color w:val="000000"/>
                <w:sz w:val="22"/>
              </w:rPr>
              <w:t>1,000,000</w:t>
            </w:r>
            <w:r>
              <w:rPr>
                <w:rFonts w:hint="eastAsia"/>
                <w:color w:val="000000"/>
                <w:sz w:val="22"/>
              </w:rPr>
              <w:t>×</w:t>
            </w:r>
            <w:r>
              <w:rPr>
                <w:rFonts w:hint="eastAsia"/>
                <w:color w:val="000000"/>
                <w:sz w:val="22"/>
              </w:rPr>
              <w:t>1.00%</w:t>
            </w:r>
            <w:r>
              <w:rPr>
                <w:rFonts w:hint="eastAsia"/>
                <w:color w:val="000000"/>
                <w:sz w:val="22"/>
              </w:rPr>
              <w:t>×</w:t>
            </w:r>
            <w:r>
              <w:rPr>
                <w:rFonts w:hint="eastAsia"/>
                <w:color w:val="000000"/>
                <w:sz w:val="22"/>
              </w:rPr>
              <w:t>10/365 =273.97</w:t>
            </w:r>
            <w:r>
              <w:rPr>
                <w:rFonts w:hint="eastAsia"/>
                <w:color w:val="000000"/>
                <w:sz w:val="22"/>
              </w:rPr>
              <w:t>元。</w:t>
            </w:r>
          </w:p>
        </w:tc>
      </w:tr>
      <w:tr w:rsidR="006061F9" w:rsidTr="006061F9">
        <w:trPr>
          <w:trHeight w:val="270"/>
        </w:trPr>
        <w:tc>
          <w:tcPr>
            <w:tcW w:w="0" w:type="auto"/>
            <w:gridSpan w:val="3"/>
            <w:tcBorders>
              <w:top w:val="nil"/>
              <w:left w:val="nil"/>
              <w:bottom w:val="nil"/>
              <w:right w:val="nil"/>
            </w:tcBorders>
            <w:shd w:val="clear" w:color="auto" w:fill="auto"/>
            <w:noWrap/>
            <w:vAlign w:val="center"/>
            <w:hideMark/>
          </w:tcPr>
          <w:p w:rsidR="006061F9" w:rsidRDefault="006061F9">
            <w:pPr>
              <w:rPr>
                <w:rFonts w:ascii="宋体" w:eastAsia="宋体" w:hAnsi="宋体" w:cs="宋体"/>
                <w:b/>
                <w:bCs/>
                <w:color w:val="000000"/>
                <w:szCs w:val="21"/>
              </w:rPr>
            </w:pPr>
            <w:r>
              <w:rPr>
                <w:rFonts w:hint="eastAsia"/>
                <w:b/>
                <w:bCs/>
                <w:color w:val="000000"/>
                <w:szCs w:val="21"/>
              </w:rPr>
              <w:t xml:space="preserve">    </w:t>
            </w:r>
            <w:r>
              <w:rPr>
                <w:rFonts w:hint="eastAsia"/>
                <w:b/>
                <w:bCs/>
                <w:color w:val="000000"/>
                <w:szCs w:val="21"/>
              </w:rPr>
              <w:t>最不利的投资情形：投资者无法收回投资收益。</w:t>
            </w:r>
          </w:p>
        </w:tc>
      </w:tr>
      <w:tr w:rsidR="006061F9" w:rsidTr="006061F9">
        <w:trPr>
          <w:trHeight w:val="270"/>
        </w:trPr>
        <w:tc>
          <w:tcPr>
            <w:tcW w:w="0" w:type="auto"/>
            <w:tcBorders>
              <w:top w:val="nil"/>
              <w:left w:val="nil"/>
              <w:bottom w:val="nil"/>
              <w:right w:val="nil"/>
            </w:tcBorders>
            <w:shd w:val="clear" w:color="auto" w:fill="auto"/>
            <w:noWrap/>
            <w:vAlign w:val="center"/>
            <w:hideMark/>
          </w:tcPr>
          <w:p w:rsidR="006061F9" w:rsidRDefault="006061F9">
            <w:pPr>
              <w:rPr>
                <w:rFonts w:ascii="宋体" w:eastAsia="宋体" w:hAnsi="宋体" w:cs="宋体"/>
                <w:b/>
                <w:bCs/>
                <w:color w:val="000000"/>
                <w:szCs w:val="21"/>
              </w:rPr>
            </w:pPr>
            <w:r>
              <w:rPr>
                <w:rFonts w:hint="eastAsia"/>
                <w:b/>
                <w:bCs/>
                <w:color w:val="000000"/>
                <w:szCs w:val="21"/>
              </w:rPr>
              <w:t xml:space="preserve">    6</w:t>
            </w:r>
            <w:r>
              <w:rPr>
                <w:rFonts w:hint="eastAsia"/>
                <w:b/>
                <w:bCs/>
                <w:color w:val="000000"/>
                <w:szCs w:val="21"/>
              </w:rPr>
              <w:t>、理财资金支付</w:t>
            </w:r>
          </w:p>
        </w:tc>
        <w:tc>
          <w:tcPr>
            <w:tcW w:w="0" w:type="auto"/>
            <w:tcBorders>
              <w:top w:val="nil"/>
              <w:left w:val="nil"/>
              <w:bottom w:val="nil"/>
              <w:right w:val="nil"/>
            </w:tcBorders>
            <w:shd w:val="clear" w:color="auto" w:fill="auto"/>
            <w:noWrap/>
            <w:vAlign w:val="center"/>
            <w:hideMark/>
          </w:tcPr>
          <w:p w:rsidR="006061F9" w:rsidRDefault="006061F9">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6061F9" w:rsidRDefault="006061F9">
            <w:pPr>
              <w:rPr>
                <w:rFonts w:ascii="宋体" w:eastAsia="宋体" w:hAnsi="宋体" w:cs="宋体"/>
                <w:color w:val="000000"/>
                <w:sz w:val="22"/>
              </w:rPr>
            </w:pPr>
          </w:p>
        </w:tc>
      </w:tr>
      <w:tr w:rsidR="006061F9" w:rsidTr="006061F9">
        <w:trPr>
          <w:trHeight w:val="2700"/>
        </w:trPr>
        <w:tc>
          <w:tcPr>
            <w:tcW w:w="8240" w:type="dxa"/>
            <w:gridSpan w:val="3"/>
            <w:tcBorders>
              <w:top w:val="nil"/>
              <w:left w:val="nil"/>
              <w:bottom w:val="nil"/>
              <w:right w:val="nil"/>
            </w:tcBorders>
            <w:shd w:val="clear" w:color="auto" w:fill="auto"/>
            <w:vAlign w:val="center"/>
            <w:hideMark/>
          </w:tcPr>
          <w:p w:rsidR="006061F9" w:rsidRDefault="006061F9">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）本金支付：银行到期终止理财或提前</w:t>
            </w:r>
            <w:r>
              <w:rPr>
                <w:rFonts w:hint="eastAsia"/>
                <w:color w:val="000000"/>
                <w:sz w:val="22"/>
              </w:rPr>
              <w:t>/</w:t>
            </w:r>
            <w:r>
              <w:rPr>
                <w:rFonts w:hint="eastAsia"/>
                <w:color w:val="000000"/>
                <w:sz w:val="22"/>
              </w:rPr>
              <w:t>延期终止理财，则平安银行对投资者归还剩余本金，并在到期日、银行到期终止日或提前终止日后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）内将本金划转到投资者指定账户，逢节假日顺延。</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）收益支付：银行到期终止理财或提前</w:t>
            </w:r>
            <w:r>
              <w:rPr>
                <w:rFonts w:hint="eastAsia"/>
                <w:color w:val="000000"/>
                <w:sz w:val="22"/>
              </w:rPr>
              <w:t>/</w:t>
            </w:r>
            <w:r>
              <w:rPr>
                <w:rFonts w:hint="eastAsia"/>
                <w:color w:val="000000"/>
                <w:sz w:val="22"/>
              </w:rPr>
              <w:t>延期终止理财，平安银行计算到期收益，并在到期日、银行到期终止日或提前终止日后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）内将收益划转到投资者指定账户，逢节假日顺延。</w:t>
            </w:r>
          </w:p>
        </w:tc>
      </w:tr>
      <w:tr w:rsidR="006061F9" w:rsidTr="006061F9">
        <w:trPr>
          <w:trHeight w:val="270"/>
        </w:trPr>
        <w:tc>
          <w:tcPr>
            <w:tcW w:w="0" w:type="auto"/>
            <w:tcBorders>
              <w:top w:val="nil"/>
              <w:left w:val="nil"/>
              <w:bottom w:val="nil"/>
              <w:right w:val="nil"/>
            </w:tcBorders>
            <w:shd w:val="clear" w:color="auto" w:fill="auto"/>
            <w:noWrap/>
            <w:vAlign w:val="center"/>
            <w:hideMark/>
          </w:tcPr>
          <w:p w:rsidR="006061F9" w:rsidRDefault="006061F9">
            <w:pPr>
              <w:rPr>
                <w:rFonts w:ascii="宋体" w:eastAsia="宋体" w:hAnsi="宋体" w:cs="宋体"/>
                <w:b/>
                <w:bCs/>
                <w:color w:val="000000"/>
                <w:szCs w:val="21"/>
              </w:rPr>
            </w:pPr>
            <w:r>
              <w:rPr>
                <w:rFonts w:hint="eastAsia"/>
                <w:b/>
                <w:bCs/>
                <w:color w:val="000000"/>
                <w:szCs w:val="21"/>
              </w:rPr>
              <w:t xml:space="preserve">    7</w:t>
            </w:r>
            <w:r>
              <w:rPr>
                <w:rFonts w:hint="eastAsia"/>
                <w:b/>
                <w:bCs/>
                <w:color w:val="000000"/>
                <w:szCs w:val="21"/>
              </w:rPr>
              <w:t>、特别说明</w:t>
            </w:r>
          </w:p>
        </w:tc>
        <w:tc>
          <w:tcPr>
            <w:tcW w:w="0" w:type="auto"/>
            <w:tcBorders>
              <w:top w:val="nil"/>
              <w:left w:val="nil"/>
              <w:bottom w:val="nil"/>
              <w:right w:val="nil"/>
            </w:tcBorders>
            <w:shd w:val="clear" w:color="auto" w:fill="auto"/>
            <w:noWrap/>
            <w:vAlign w:val="center"/>
            <w:hideMark/>
          </w:tcPr>
          <w:p w:rsidR="006061F9" w:rsidRDefault="006061F9">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6061F9" w:rsidRDefault="006061F9">
            <w:pPr>
              <w:rPr>
                <w:rFonts w:ascii="宋体" w:eastAsia="宋体" w:hAnsi="宋体" w:cs="宋体"/>
                <w:color w:val="000000"/>
                <w:sz w:val="22"/>
              </w:rPr>
            </w:pPr>
          </w:p>
        </w:tc>
      </w:tr>
      <w:tr w:rsidR="006061F9" w:rsidTr="006061F9">
        <w:trPr>
          <w:trHeight w:val="3810"/>
        </w:trPr>
        <w:tc>
          <w:tcPr>
            <w:tcW w:w="8240" w:type="dxa"/>
            <w:gridSpan w:val="3"/>
            <w:tcBorders>
              <w:top w:val="nil"/>
              <w:left w:val="nil"/>
              <w:bottom w:val="nil"/>
              <w:right w:val="nil"/>
            </w:tcBorders>
            <w:shd w:val="clear" w:color="auto" w:fill="auto"/>
            <w:vAlign w:val="center"/>
            <w:hideMark/>
          </w:tcPr>
          <w:p w:rsidR="006061F9" w:rsidRDefault="006061F9">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）理财期间不开放赎回，理财产品在理财期到期日或实际终止日时一次兑付。</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）提前</w:t>
            </w:r>
            <w:r>
              <w:rPr>
                <w:rFonts w:hint="eastAsia"/>
                <w:color w:val="000000"/>
                <w:sz w:val="22"/>
              </w:rPr>
              <w:t>/</w:t>
            </w:r>
            <w:r>
              <w:rPr>
                <w:rFonts w:hint="eastAsia"/>
                <w:color w:val="000000"/>
                <w:sz w:val="22"/>
              </w:rPr>
              <w:t>延期终止权利。在理财产品到期前，投资者无提前</w:t>
            </w:r>
            <w:r>
              <w:rPr>
                <w:rFonts w:hint="eastAsia"/>
                <w:color w:val="000000"/>
                <w:sz w:val="22"/>
              </w:rPr>
              <w:t>/</w:t>
            </w:r>
            <w:r>
              <w:rPr>
                <w:rFonts w:hint="eastAsia"/>
                <w:color w:val="000000"/>
                <w:sz w:val="22"/>
              </w:rPr>
              <w:t>延期终止权，如遇国家金融政策出现重大调整、市场发生重大变化等情形并影响本产品的正常运作，以及其他平安银行股份有限公司认为需要提前</w:t>
            </w:r>
            <w:r>
              <w:rPr>
                <w:rFonts w:hint="eastAsia"/>
                <w:color w:val="000000"/>
                <w:sz w:val="22"/>
              </w:rPr>
              <w:t>/</w:t>
            </w:r>
            <w:r>
              <w:rPr>
                <w:rFonts w:hint="eastAsia"/>
                <w:color w:val="000000"/>
                <w:sz w:val="22"/>
              </w:rPr>
              <w:t>延期终止本理财产品的情况时，平安银行有提前</w:t>
            </w:r>
            <w:r>
              <w:rPr>
                <w:rFonts w:hint="eastAsia"/>
                <w:color w:val="000000"/>
                <w:sz w:val="22"/>
              </w:rPr>
              <w:t>/</w:t>
            </w:r>
            <w:r>
              <w:rPr>
                <w:rFonts w:hint="eastAsia"/>
                <w:color w:val="000000"/>
                <w:sz w:val="22"/>
              </w:rPr>
              <w:t>延期终止权。如果平安银行提前</w:t>
            </w:r>
            <w:r>
              <w:rPr>
                <w:rFonts w:hint="eastAsia"/>
                <w:color w:val="000000"/>
                <w:sz w:val="22"/>
              </w:rPr>
              <w:t>/</w:t>
            </w:r>
            <w:r>
              <w:rPr>
                <w:rFonts w:hint="eastAsia"/>
                <w:color w:val="000000"/>
                <w:sz w:val="22"/>
              </w:rPr>
              <w:t>延期终止本理财产品，平安银行将提前</w:t>
            </w:r>
            <w:r>
              <w:rPr>
                <w:rFonts w:hint="eastAsia"/>
                <w:color w:val="000000"/>
                <w:sz w:val="22"/>
              </w:rPr>
              <w:t>2</w:t>
            </w:r>
            <w:r>
              <w:rPr>
                <w:rFonts w:hint="eastAsia"/>
                <w:color w:val="000000"/>
                <w:sz w:val="22"/>
              </w:rPr>
              <w:t>个工作日通知投资者，并在提前</w:t>
            </w:r>
            <w:r>
              <w:rPr>
                <w:rFonts w:hint="eastAsia"/>
                <w:color w:val="000000"/>
                <w:sz w:val="22"/>
              </w:rPr>
              <w:t>/</w:t>
            </w:r>
            <w:r>
              <w:rPr>
                <w:rFonts w:hint="eastAsia"/>
                <w:color w:val="000000"/>
                <w:sz w:val="22"/>
              </w:rPr>
              <w:t>延期终止后的</w:t>
            </w:r>
            <w:r>
              <w:rPr>
                <w:rFonts w:hint="eastAsia"/>
                <w:color w:val="000000"/>
                <w:sz w:val="22"/>
              </w:rPr>
              <w:t>2</w:t>
            </w:r>
            <w:r>
              <w:rPr>
                <w:rFonts w:hint="eastAsia"/>
                <w:color w:val="000000"/>
                <w:sz w:val="22"/>
              </w:rPr>
              <w:t>个工作日内向投资者返还理财本金和收益，理财收益按实际理财期限计算。</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4</w:t>
            </w:r>
            <w:r>
              <w:rPr>
                <w:rFonts w:hint="eastAsia"/>
                <w:color w:val="000000"/>
                <w:sz w:val="22"/>
              </w:rPr>
              <w:t>）理财产品到期时，如果若因市场极端情况或相关的法律、政策变动，导致使资产组合无法支付客户赎回申请，平安银行有权暂停投资者的到期赎回。</w:t>
            </w:r>
          </w:p>
        </w:tc>
      </w:tr>
      <w:tr w:rsidR="006061F9" w:rsidTr="006061F9">
        <w:trPr>
          <w:trHeight w:val="285"/>
        </w:trPr>
        <w:tc>
          <w:tcPr>
            <w:tcW w:w="0" w:type="auto"/>
            <w:tcBorders>
              <w:top w:val="nil"/>
              <w:left w:val="nil"/>
              <w:bottom w:val="nil"/>
              <w:right w:val="nil"/>
            </w:tcBorders>
            <w:shd w:val="clear" w:color="auto" w:fill="auto"/>
            <w:noWrap/>
            <w:vAlign w:val="center"/>
            <w:hideMark/>
          </w:tcPr>
          <w:p w:rsidR="006061F9" w:rsidRDefault="006061F9">
            <w:pPr>
              <w:rPr>
                <w:rFonts w:ascii="宋体" w:eastAsia="宋体" w:hAnsi="宋体" w:cs="宋体"/>
                <w:b/>
                <w:bCs/>
                <w:color w:val="000000"/>
                <w:sz w:val="24"/>
                <w:szCs w:val="24"/>
              </w:rPr>
            </w:pPr>
            <w:r>
              <w:rPr>
                <w:rFonts w:hint="eastAsia"/>
                <w:b/>
                <w:bCs/>
                <w:color w:val="000000"/>
              </w:rPr>
              <w:t>四、风险揭示</w:t>
            </w:r>
          </w:p>
        </w:tc>
        <w:tc>
          <w:tcPr>
            <w:tcW w:w="0" w:type="auto"/>
            <w:tcBorders>
              <w:top w:val="nil"/>
              <w:left w:val="nil"/>
              <w:bottom w:val="nil"/>
              <w:right w:val="nil"/>
            </w:tcBorders>
            <w:shd w:val="clear" w:color="auto" w:fill="auto"/>
            <w:noWrap/>
            <w:vAlign w:val="center"/>
            <w:hideMark/>
          </w:tcPr>
          <w:p w:rsidR="006061F9" w:rsidRDefault="006061F9">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6061F9" w:rsidRDefault="006061F9">
            <w:pPr>
              <w:rPr>
                <w:rFonts w:ascii="宋体" w:eastAsia="宋体" w:hAnsi="宋体" w:cs="宋体"/>
                <w:color w:val="000000"/>
                <w:sz w:val="22"/>
              </w:rPr>
            </w:pPr>
          </w:p>
        </w:tc>
      </w:tr>
      <w:tr w:rsidR="006061F9" w:rsidTr="006061F9">
        <w:trPr>
          <w:trHeight w:val="1395"/>
        </w:trPr>
        <w:tc>
          <w:tcPr>
            <w:tcW w:w="8240" w:type="dxa"/>
            <w:gridSpan w:val="3"/>
            <w:tcBorders>
              <w:top w:val="nil"/>
              <w:left w:val="nil"/>
              <w:bottom w:val="nil"/>
              <w:right w:val="nil"/>
            </w:tcBorders>
            <w:shd w:val="clear" w:color="auto" w:fill="auto"/>
            <w:vAlign w:val="center"/>
            <w:hideMark/>
          </w:tcPr>
          <w:p w:rsidR="006061F9" w:rsidRDefault="006061F9">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本理财产品有投资风险，不保证理财本金和收益，投资者应该充分认识投资风险，谨慎投资。本产品风险揭示内容详见《平安财富—和盈资产管理类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15</w:t>
            </w:r>
            <w:r>
              <w:rPr>
                <w:rFonts w:hint="eastAsia"/>
                <w:b/>
                <w:bCs/>
                <w:color w:val="000000"/>
                <w:sz w:val="22"/>
              </w:rPr>
              <w:t>期人民币理财产品风险揭示书》，请投资者详细阅读，在充分了解并清楚知晓本产品蕴含风险的基础上，通过自身判断自主参与交易，并自愿承担相关风险。</w:t>
            </w:r>
          </w:p>
        </w:tc>
      </w:tr>
      <w:tr w:rsidR="006061F9" w:rsidTr="006061F9">
        <w:trPr>
          <w:trHeight w:val="285"/>
        </w:trPr>
        <w:tc>
          <w:tcPr>
            <w:tcW w:w="0" w:type="auto"/>
            <w:tcBorders>
              <w:top w:val="nil"/>
              <w:left w:val="nil"/>
              <w:bottom w:val="nil"/>
              <w:right w:val="nil"/>
            </w:tcBorders>
            <w:shd w:val="clear" w:color="auto" w:fill="auto"/>
            <w:noWrap/>
            <w:vAlign w:val="center"/>
            <w:hideMark/>
          </w:tcPr>
          <w:p w:rsidR="006061F9" w:rsidRDefault="006061F9">
            <w:pPr>
              <w:rPr>
                <w:rFonts w:ascii="宋体" w:eastAsia="宋体" w:hAnsi="宋体" w:cs="宋体"/>
                <w:b/>
                <w:bCs/>
                <w:color w:val="000000"/>
                <w:sz w:val="24"/>
                <w:szCs w:val="24"/>
              </w:rPr>
            </w:pPr>
            <w:r>
              <w:rPr>
                <w:rFonts w:hint="eastAsia"/>
                <w:b/>
                <w:bCs/>
                <w:color w:val="000000"/>
              </w:rPr>
              <w:t>五、信息披露</w:t>
            </w:r>
          </w:p>
        </w:tc>
        <w:tc>
          <w:tcPr>
            <w:tcW w:w="0" w:type="auto"/>
            <w:tcBorders>
              <w:top w:val="nil"/>
              <w:left w:val="nil"/>
              <w:bottom w:val="nil"/>
              <w:right w:val="nil"/>
            </w:tcBorders>
            <w:shd w:val="clear" w:color="auto" w:fill="auto"/>
            <w:noWrap/>
            <w:vAlign w:val="center"/>
            <w:hideMark/>
          </w:tcPr>
          <w:p w:rsidR="006061F9" w:rsidRDefault="006061F9">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6061F9" w:rsidRDefault="006061F9">
            <w:pPr>
              <w:rPr>
                <w:rFonts w:ascii="宋体" w:eastAsia="宋体" w:hAnsi="宋体" w:cs="宋体"/>
                <w:color w:val="000000"/>
                <w:sz w:val="22"/>
              </w:rPr>
            </w:pPr>
          </w:p>
        </w:tc>
      </w:tr>
      <w:tr w:rsidR="006061F9" w:rsidTr="006061F9">
        <w:trPr>
          <w:trHeight w:val="825"/>
        </w:trPr>
        <w:tc>
          <w:tcPr>
            <w:tcW w:w="8240" w:type="dxa"/>
            <w:gridSpan w:val="3"/>
            <w:tcBorders>
              <w:top w:val="nil"/>
              <w:left w:val="nil"/>
              <w:bottom w:val="nil"/>
              <w:right w:val="nil"/>
            </w:tcBorders>
            <w:shd w:val="clear" w:color="auto" w:fill="auto"/>
            <w:vAlign w:val="center"/>
            <w:hideMark/>
          </w:tcPr>
          <w:p w:rsidR="006061F9" w:rsidRDefault="006061F9">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本理财产品的公开信息披露将通过平安银行认为适当的方式、地点进行。银行、投资者同意理财资产报告无需审计。如监管机构认为需要审计，相关审计费用由理财资产承担。</w:t>
            </w:r>
          </w:p>
        </w:tc>
      </w:tr>
      <w:tr w:rsidR="006061F9" w:rsidTr="006061F9">
        <w:trPr>
          <w:trHeight w:val="570"/>
        </w:trPr>
        <w:tc>
          <w:tcPr>
            <w:tcW w:w="8240" w:type="dxa"/>
            <w:gridSpan w:val="3"/>
            <w:tcBorders>
              <w:top w:val="nil"/>
              <w:left w:val="nil"/>
              <w:bottom w:val="nil"/>
              <w:right w:val="nil"/>
            </w:tcBorders>
            <w:shd w:val="clear" w:color="auto" w:fill="auto"/>
            <w:vAlign w:val="center"/>
            <w:hideMark/>
          </w:tcPr>
          <w:p w:rsidR="006061F9" w:rsidRDefault="006061F9">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本产品信息披露的具体内容和时间规定等详见《平安银行理财产品客户权益须知》，请投资者详细阅读并注意查阅相关产品信息。</w:t>
            </w:r>
          </w:p>
        </w:tc>
      </w:tr>
      <w:tr w:rsidR="006061F9" w:rsidTr="006061F9">
        <w:trPr>
          <w:trHeight w:val="270"/>
        </w:trPr>
        <w:tc>
          <w:tcPr>
            <w:tcW w:w="0" w:type="auto"/>
            <w:gridSpan w:val="2"/>
            <w:tcBorders>
              <w:top w:val="nil"/>
              <w:left w:val="nil"/>
              <w:bottom w:val="nil"/>
              <w:right w:val="nil"/>
            </w:tcBorders>
            <w:shd w:val="clear" w:color="auto" w:fill="auto"/>
            <w:noWrap/>
            <w:vAlign w:val="center"/>
            <w:hideMark/>
          </w:tcPr>
          <w:p w:rsidR="006061F9" w:rsidRDefault="006061F9">
            <w:pPr>
              <w:rPr>
                <w:rFonts w:ascii="宋体" w:eastAsia="宋体" w:hAnsi="宋体" w:cs="宋体"/>
                <w:b/>
                <w:bCs/>
                <w:color w:val="000000"/>
                <w:sz w:val="22"/>
              </w:rPr>
            </w:pPr>
            <w:r>
              <w:rPr>
                <w:rFonts w:hint="eastAsia"/>
                <w:b/>
                <w:bCs/>
                <w:color w:val="000000"/>
                <w:sz w:val="22"/>
              </w:rPr>
              <w:t>六、其他重要事项说明</w:t>
            </w:r>
          </w:p>
        </w:tc>
        <w:tc>
          <w:tcPr>
            <w:tcW w:w="0" w:type="auto"/>
            <w:tcBorders>
              <w:top w:val="nil"/>
              <w:left w:val="nil"/>
              <w:bottom w:val="nil"/>
              <w:right w:val="nil"/>
            </w:tcBorders>
            <w:shd w:val="clear" w:color="auto" w:fill="auto"/>
            <w:noWrap/>
            <w:vAlign w:val="center"/>
            <w:hideMark/>
          </w:tcPr>
          <w:p w:rsidR="006061F9" w:rsidRDefault="006061F9">
            <w:pPr>
              <w:rPr>
                <w:rFonts w:ascii="宋体" w:eastAsia="宋体" w:hAnsi="宋体" w:cs="宋体"/>
                <w:color w:val="000000"/>
                <w:sz w:val="22"/>
              </w:rPr>
            </w:pPr>
          </w:p>
        </w:tc>
      </w:tr>
      <w:tr w:rsidR="006061F9" w:rsidTr="006061F9">
        <w:trPr>
          <w:trHeight w:val="270"/>
        </w:trPr>
        <w:tc>
          <w:tcPr>
            <w:tcW w:w="0" w:type="auto"/>
            <w:gridSpan w:val="3"/>
            <w:tcBorders>
              <w:top w:val="nil"/>
              <w:left w:val="nil"/>
              <w:bottom w:val="nil"/>
              <w:right w:val="nil"/>
            </w:tcBorders>
            <w:shd w:val="clear" w:color="auto" w:fill="auto"/>
            <w:noWrap/>
            <w:vAlign w:val="center"/>
            <w:hideMark/>
          </w:tcPr>
          <w:p w:rsidR="006061F9" w:rsidRDefault="006061F9">
            <w:pPr>
              <w:rPr>
                <w:rFonts w:ascii="宋体" w:eastAsia="宋体" w:hAnsi="宋体" w:cs="宋体"/>
                <w:b/>
                <w:bCs/>
                <w:color w:val="000000"/>
                <w:szCs w:val="21"/>
              </w:rPr>
            </w:pPr>
            <w:r>
              <w:rPr>
                <w:rFonts w:hint="eastAsia"/>
                <w:b/>
                <w:bCs/>
                <w:color w:val="000000"/>
                <w:szCs w:val="21"/>
              </w:rPr>
              <w:t xml:space="preserve">     1</w:t>
            </w:r>
            <w:r>
              <w:rPr>
                <w:rFonts w:hint="eastAsia"/>
                <w:b/>
                <w:bCs/>
                <w:color w:val="000000"/>
                <w:szCs w:val="21"/>
              </w:rPr>
              <w:t>、由于投资者原因导致平安银行终止双方理财关系的情形</w:t>
            </w:r>
          </w:p>
        </w:tc>
      </w:tr>
      <w:tr w:rsidR="006061F9" w:rsidTr="006061F9">
        <w:trPr>
          <w:trHeight w:val="1875"/>
        </w:trPr>
        <w:tc>
          <w:tcPr>
            <w:tcW w:w="8240" w:type="dxa"/>
            <w:gridSpan w:val="3"/>
            <w:tcBorders>
              <w:top w:val="nil"/>
              <w:left w:val="nil"/>
              <w:bottom w:val="nil"/>
              <w:right w:val="nil"/>
            </w:tcBorders>
            <w:shd w:val="clear" w:color="auto" w:fill="auto"/>
            <w:vAlign w:val="center"/>
            <w:hideMark/>
          </w:tcPr>
          <w:p w:rsidR="006061F9" w:rsidRDefault="006061F9">
            <w:pPr>
              <w:rPr>
                <w:rFonts w:ascii="宋体" w:eastAsia="宋体" w:hAnsi="宋体" w:cs="宋体"/>
                <w:color w:val="000000"/>
                <w:sz w:val="22"/>
              </w:rPr>
            </w:pPr>
            <w:r>
              <w:rPr>
                <w:rFonts w:hint="eastAsia"/>
                <w:color w:val="000000"/>
                <w:sz w:val="22"/>
              </w:rPr>
              <w:lastRenderedPageBreak/>
              <w:t xml:space="preserve">    </w:t>
            </w:r>
            <w:r>
              <w:rPr>
                <w:rFonts w:hint="eastAsia"/>
                <w:color w:val="000000"/>
                <w:sz w:val="22"/>
              </w:rPr>
              <w:t>（</w:t>
            </w:r>
            <w:r>
              <w:rPr>
                <w:rFonts w:hint="eastAsia"/>
                <w:color w:val="000000"/>
                <w:sz w:val="22"/>
              </w:rPr>
              <w:t>1</w:t>
            </w:r>
            <w:r>
              <w:rPr>
                <w:rFonts w:hint="eastAsia"/>
                <w:color w:val="000000"/>
                <w:sz w:val="22"/>
              </w:rPr>
              <w:t>）若因投资者原因导致扣款失败，则投资者认购本理财产品失败。</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的理财资金被有权机关扣划或者采取其它限制权利的措施，则视同投资者违约，平安银行有权自扣划或采取其它限制权利的措施之日起终止与该投资者对于本理财产品的理财关系，投资者应自行承担违约导致的损失，如因此造成平安银行损失，投资者应赔偿平安银行损失。</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）由于投资者原因导致，在法律允许的范围内平安银行认定必须终止与该投资者对于本理财产品的理财关系的其他情形。</w:t>
            </w:r>
          </w:p>
        </w:tc>
      </w:tr>
      <w:tr w:rsidR="006061F9" w:rsidTr="006061F9">
        <w:trPr>
          <w:trHeight w:val="270"/>
        </w:trPr>
        <w:tc>
          <w:tcPr>
            <w:tcW w:w="0" w:type="auto"/>
            <w:gridSpan w:val="2"/>
            <w:tcBorders>
              <w:top w:val="nil"/>
              <w:left w:val="nil"/>
              <w:bottom w:val="nil"/>
              <w:right w:val="nil"/>
            </w:tcBorders>
            <w:shd w:val="clear" w:color="auto" w:fill="auto"/>
            <w:noWrap/>
            <w:vAlign w:val="center"/>
            <w:hideMark/>
          </w:tcPr>
          <w:p w:rsidR="006061F9" w:rsidRDefault="006061F9">
            <w:pPr>
              <w:rPr>
                <w:rFonts w:ascii="宋体" w:eastAsia="宋体" w:hAnsi="宋体" w:cs="宋体"/>
                <w:b/>
                <w:bCs/>
                <w:color w:val="000000"/>
                <w:szCs w:val="21"/>
              </w:rPr>
            </w:pPr>
            <w:r>
              <w:rPr>
                <w:rFonts w:hint="eastAsia"/>
                <w:b/>
                <w:bCs/>
                <w:color w:val="000000"/>
                <w:szCs w:val="21"/>
              </w:rPr>
              <w:t xml:space="preserve">     2</w:t>
            </w:r>
            <w:r>
              <w:rPr>
                <w:rFonts w:hint="eastAsia"/>
                <w:b/>
                <w:bCs/>
                <w:color w:val="000000"/>
                <w:szCs w:val="21"/>
              </w:rPr>
              <w:t>、理财产品合同违约</w:t>
            </w:r>
          </w:p>
        </w:tc>
        <w:tc>
          <w:tcPr>
            <w:tcW w:w="0" w:type="auto"/>
            <w:tcBorders>
              <w:top w:val="nil"/>
              <w:left w:val="nil"/>
              <w:bottom w:val="nil"/>
              <w:right w:val="nil"/>
            </w:tcBorders>
            <w:shd w:val="clear" w:color="auto" w:fill="auto"/>
            <w:noWrap/>
            <w:vAlign w:val="center"/>
            <w:hideMark/>
          </w:tcPr>
          <w:p w:rsidR="006061F9" w:rsidRDefault="006061F9">
            <w:pPr>
              <w:rPr>
                <w:rFonts w:ascii="宋体" w:eastAsia="宋体" w:hAnsi="宋体" w:cs="宋体"/>
                <w:color w:val="000000"/>
                <w:sz w:val="22"/>
              </w:rPr>
            </w:pPr>
          </w:p>
        </w:tc>
      </w:tr>
      <w:tr w:rsidR="006061F9" w:rsidTr="006061F9">
        <w:trPr>
          <w:trHeight w:val="3015"/>
        </w:trPr>
        <w:tc>
          <w:tcPr>
            <w:tcW w:w="8240" w:type="dxa"/>
            <w:gridSpan w:val="3"/>
            <w:tcBorders>
              <w:top w:val="nil"/>
              <w:left w:val="nil"/>
              <w:bottom w:val="nil"/>
              <w:right w:val="nil"/>
            </w:tcBorders>
            <w:shd w:val="clear" w:color="auto" w:fill="auto"/>
            <w:vAlign w:val="center"/>
            <w:hideMark/>
          </w:tcPr>
          <w:p w:rsidR="006061F9" w:rsidRDefault="006061F9">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产品存续期内，投资者不得以本理财资金设定其他任何第三方权益。如因司法或行政机构采取强制措施导致理财账户内资产的部分或全部被扣划，均被视为投资者违反本理财产品合约，并承担全部经济损失。</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）若投资者发生违约，给本期理财产品或本期理财产品下的其他投资者、银行或</w:t>
            </w:r>
            <w:r>
              <w:rPr>
                <w:rFonts w:hint="eastAsia"/>
                <w:color w:val="000000"/>
                <w:sz w:val="22"/>
              </w:rPr>
              <w:t>/</w:t>
            </w:r>
            <w:r>
              <w:rPr>
                <w:rFonts w:hint="eastAsia"/>
                <w:color w:val="000000"/>
                <w:sz w:val="22"/>
              </w:rPr>
              <w:t>及任何其他第三方造成损失，均由违约投资者承担经济赔偿责任；同时平安银行有权代表本期理财产品向责任方依法追偿，追偿所得在扣除追偿费用后计入本期理财产品资产。</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理财产品合约适用于中华人民共和国（不包括香港、澳门和台湾）的法律法规、中国人民银行、中国银行业监督管理委员会等监管机关规范性文件要求及行业规则。合约及与之有关的一切争议，双方首先协商解决，若无法达成一致，应提交华南国际经济贸易仲裁委员会仲裁解决。</w:t>
            </w:r>
          </w:p>
        </w:tc>
      </w:tr>
      <w:tr w:rsidR="006061F9" w:rsidTr="006061F9">
        <w:trPr>
          <w:trHeight w:val="285"/>
        </w:trPr>
        <w:tc>
          <w:tcPr>
            <w:tcW w:w="0" w:type="auto"/>
            <w:tcBorders>
              <w:top w:val="nil"/>
              <w:left w:val="nil"/>
              <w:bottom w:val="nil"/>
              <w:right w:val="nil"/>
            </w:tcBorders>
            <w:shd w:val="clear" w:color="auto" w:fill="auto"/>
            <w:noWrap/>
            <w:vAlign w:val="center"/>
            <w:hideMark/>
          </w:tcPr>
          <w:p w:rsidR="006061F9" w:rsidRDefault="006061F9">
            <w:pPr>
              <w:rPr>
                <w:rFonts w:ascii="宋体" w:eastAsia="宋体" w:hAnsi="宋体" w:cs="宋体"/>
                <w:b/>
                <w:bCs/>
                <w:color w:val="000000"/>
                <w:sz w:val="24"/>
                <w:szCs w:val="24"/>
              </w:rPr>
            </w:pPr>
            <w:r>
              <w:rPr>
                <w:rFonts w:hint="eastAsia"/>
                <w:b/>
                <w:bCs/>
                <w:color w:val="000000"/>
              </w:rPr>
              <w:t>七、特别提示</w:t>
            </w:r>
          </w:p>
        </w:tc>
        <w:tc>
          <w:tcPr>
            <w:tcW w:w="0" w:type="auto"/>
            <w:tcBorders>
              <w:top w:val="nil"/>
              <w:left w:val="nil"/>
              <w:bottom w:val="nil"/>
              <w:right w:val="nil"/>
            </w:tcBorders>
            <w:shd w:val="clear" w:color="auto" w:fill="auto"/>
            <w:noWrap/>
            <w:vAlign w:val="center"/>
            <w:hideMark/>
          </w:tcPr>
          <w:p w:rsidR="006061F9" w:rsidRDefault="006061F9">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6061F9" w:rsidRDefault="006061F9">
            <w:pPr>
              <w:rPr>
                <w:rFonts w:ascii="宋体" w:eastAsia="宋体" w:hAnsi="宋体" w:cs="宋体"/>
                <w:color w:val="000000"/>
                <w:sz w:val="22"/>
              </w:rPr>
            </w:pPr>
          </w:p>
        </w:tc>
      </w:tr>
      <w:tr w:rsidR="006061F9" w:rsidTr="006061F9">
        <w:trPr>
          <w:trHeight w:val="3660"/>
        </w:trPr>
        <w:tc>
          <w:tcPr>
            <w:tcW w:w="8240" w:type="dxa"/>
            <w:gridSpan w:val="3"/>
            <w:tcBorders>
              <w:top w:val="nil"/>
              <w:left w:val="nil"/>
              <w:bottom w:val="nil"/>
              <w:right w:val="nil"/>
            </w:tcBorders>
            <w:shd w:val="clear" w:color="auto" w:fill="auto"/>
            <w:vAlign w:val="center"/>
            <w:hideMark/>
          </w:tcPr>
          <w:p w:rsidR="006061F9" w:rsidRDefault="006061F9">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本理财产品说明书为《平安银行理财产品销售协议书》不可分割之组成部分，与《平安银行理财产品销售协议书》不同之处，以本理财产品说明书为准。</w:t>
            </w:r>
            <w:r>
              <w:rPr>
                <w:rFonts w:hint="eastAsia"/>
                <w:color w:val="000000"/>
                <w:sz w:val="22"/>
              </w:rPr>
              <w:br/>
              <w:t xml:space="preserve">    </w:t>
            </w:r>
            <w:r>
              <w:rPr>
                <w:rFonts w:hint="eastAsia"/>
                <w:color w:val="000000"/>
                <w:sz w:val="22"/>
              </w:rPr>
              <w:t>本理财计划仅向依据中华人民共和国有关法律法规及本说明书规定可以购买本理财计划的合格个人投资者发售。</w:t>
            </w:r>
            <w:r>
              <w:rPr>
                <w:rFonts w:hint="eastAsia"/>
                <w:color w:val="000000"/>
                <w:sz w:val="22"/>
              </w:rPr>
              <w:br/>
              <w:t xml:space="preserve">    </w:t>
            </w:r>
            <w:r>
              <w:rPr>
                <w:rFonts w:hint="eastAsia"/>
                <w:color w:val="000000"/>
                <w:sz w:val="22"/>
              </w:rPr>
              <w:t>在购买本理财产品前，请投资者确保完全了解本理财计划的性质、其中涉及的风险以及投资者的自身情况。若投资者对本理财产品说明书的内容有任何疑问，请向平安银行各营业网点理财经理咨询。</w:t>
            </w:r>
            <w:r>
              <w:rPr>
                <w:rFonts w:hint="eastAsia"/>
                <w:color w:val="000000"/>
                <w:sz w:val="22"/>
              </w:rPr>
              <w:br/>
              <w:t xml:space="preserve">    </w:t>
            </w:r>
            <w:r>
              <w:rPr>
                <w:rFonts w:hint="eastAsia"/>
                <w:color w:val="000000"/>
                <w:sz w:val="22"/>
              </w:rPr>
              <w:t>除本产品说明书中明确规定的收益及收益分配方式外，任何其他收益表述均属不具有法律约束力的用语，不代表投资者可能获得的实际收益，亦不构成平安银行对本理财产品的额外收益承诺。</w:t>
            </w:r>
            <w:r>
              <w:rPr>
                <w:rFonts w:hint="eastAsia"/>
                <w:color w:val="000000"/>
                <w:sz w:val="22"/>
              </w:rPr>
              <w:br/>
              <w:t xml:space="preserve">    </w:t>
            </w:r>
            <w:r>
              <w:rPr>
                <w:rFonts w:hint="eastAsia"/>
                <w:color w:val="000000"/>
                <w:sz w:val="22"/>
              </w:rPr>
              <w:t>本理财产品只根据本产品说明书所载的内容操作。</w:t>
            </w:r>
            <w:r>
              <w:rPr>
                <w:rFonts w:hint="eastAsia"/>
                <w:color w:val="000000"/>
                <w:sz w:val="22"/>
              </w:rPr>
              <w:br/>
              <w:t xml:space="preserve">    </w:t>
            </w:r>
            <w:r>
              <w:rPr>
                <w:rFonts w:hint="eastAsia"/>
                <w:color w:val="000000"/>
                <w:sz w:val="22"/>
              </w:rPr>
              <w:t>本理财产品不等同于银行存款。</w:t>
            </w:r>
            <w:r>
              <w:rPr>
                <w:rFonts w:hint="eastAsia"/>
                <w:color w:val="000000"/>
                <w:sz w:val="22"/>
              </w:rPr>
              <w:br/>
              <w:t xml:space="preserve">    </w:t>
            </w:r>
            <w:r>
              <w:rPr>
                <w:rFonts w:hint="eastAsia"/>
                <w:color w:val="000000"/>
                <w:sz w:val="22"/>
              </w:rPr>
              <w:t>本理财产品说明书由平安银行负责解释。</w:t>
            </w:r>
          </w:p>
        </w:tc>
      </w:tr>
      <w:tr w:rsidR="006061F9" w:rsidTr="006061F9">
        <w:trPr>
          <w:trHeight w:val="525"/>
        </w:trPr>
        <w:tc>
          <w:tcPr>
            <w:tcW w:w="8240" w:type="dxa"/>
            <w:gridSpan w:val="3"/>
            <w:tcBorders>
              <w:top w:val="nil"/>
              <w:left w:val="nil"/>
              <w:bottom w:val="nil"/>
              <w:right w:val="nil"/>
            </w:tcBorders>
            <w:shd w:val="clear" w:color="auto" w:fill="auto"/>
            <w:vAlign w:val="center"/>
            <w:hideMark/>
          </w:tcPr>
          <w:p w:rsidR="006061F9" w:rsidRDefault="006061F9">
            <w:pPr>
              <w:jc w:val="center"/>
              <w:rPr>
                <w:rFonts w:ascii="宋体" w:eastAsia="宋体" w:hAnsi="宋体" w:cs="宋体"/>
                <w:color w:val="000000"/>
                <w:sz w:val="22"/>
              </w:rPr>
            </w:pPr>
            <w:r>
              <w:rPr>
                <w:rFonts w:hint="eastAsia"/>
                <w:color w:val="000000"/>
                <w:sz w:val="22"/>
              </w:rPr>
              <w:t>―――――――――――――――――――――――――――――――――――――</w:t>
            </w:r>
          </w:p>
        </w:tc>
      </w:tr>
      <w:tr w:rsidR="006061F9" w:rsidTr="006061F9">
        <w:trPr>
          <w:trHeight w:val="855"/>
        </w:trPr>
        <w:tc>
          <w:tcPr>
            <w:tcW w:w="8240" w:type="dxa"/>
            <w:gridSpan w:val="3"/>
            <w:tcBorders>
              <w:top w:val="nil"/>
              <w:left w:val="nil"/>
              <w:bottom w:val="nil"/>
              <w:right w:val="nil"/>
            </w:tcBorders>
            <w:shd w:val="clear" w:color="auto" w:fill="auto"/>
            <w:vAlign w:val="center"/>
            <w:hideMark/>
          </w:tcPr>
          <w:p w:rsidR="006061F9" w:rsidRDefault="006061F9">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本产品投资人已阅读并领取《平安财富—和盈资产管理类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15</w:t>
            </w:r>
            <w:r>
              <w:rPr>
                <w:rFonts w:hint="eastAsia"/>
                <w:b/>
                <w:bCs/>
                <w:color w:val="000000"/>
                <w:sz w:val="22"/>
              </w:rPr>
              <w:t>期人民币理财产品说明书》，共</w:t>
            </w:r>
            <w:r>
              <w:rPr>
                <w:rFonts w:hint="eastAsia"/>
                <w:b/>
                <w:bCs/>
                <w:color w:val="000000"/>
                <w:sz w:val="22"/>
              </w:rPr>
              <w:t>5</w:t>
            </w:r>
            <w:r>
              <w:rPr>
                <w:rFonts w:hint="eastAsia"/>
                <w:b/>
                <w:bCs/>
                <w:color w:val="000000"/>
                <w:sz w:val="22"/>
              </w:rPr>
              <w:t>页，充分了解本产品的收益和风险，自愿购买。</w:t>
            </w:r>
          </w:p>
        </w:tc>
      </w:tr>
      <w:tr w:rsidR="006061F9" w:rsidTr="006061F9">
        <w:trPr>
          <w:trHeight w:val="285"/>
        </w:trPr>
        <w:tc>
          <w:tcPr>
            <w:tcW w:w="0" w:type="auto"/>
            <w:tcBorders>
              <w:top w:val="nil"/>
              <w:left w:val="nil"/>
              <w:bottom w:val="nil"/>
              <w:right w:val="nil"/>
            </w:tcBorders>
            <w:shd w:val="clear" w:color="auto" w:fill="auto"/>
            <w:noWrap/>
            <w:vAlign w:val="center"/>
            <w:hideMark/>
          </w:tcPr>
          <w:p w:rsidR="006061F9" w:rsidRDefault="006061F9">
            <w:pPr>
              <w:rPr>
                <w:rFonts w:ascii="仿宋_GB2312" w:eastAsia="仿宋_GB2312" w:hAnsi="宋体" w:cs="宋体"/>
                <w:b/>
                <w:bCs/>
                <w:color w:val="000000"/>
                <w:sz w:val="24"/>
                <w:szCs w:val="24"/>
              </w:rPr>
            </w:pPr>
            <w:r>
              <w:rPr>
                <w:rFonts w:ascii="仿宋_GB2312" w:eastAsia="仿宋_GB2312" w:hint="eastAsia"/>
                <w:b/>
                <w:bCs/>
                <w:color w:val="000000"/>
              </w:rPr>
              <w:t>投资人签字：</w:t>
            </w:r>
          </w:p>
        </w:tc>
        <w:tc>
          <w:tcPr>
            <w:tcW w:w="0" w:type="auto"/>
            <w:tcBorders>
              <w:top w:val="nil"/>
              <w:left w:val="nil"/>
              <w:bottom w:val="nil"/>
              <w:right w:val="nil"/>
            </w:tcBorders>
            <w:shd w:val="clear" w:color="auto" w:fill="auto"/>
            <w:noWrap/>
            <w:vAlign w:val="center"/>
            <w:hideMark/>
          </w:tcPr>
          <w:p w:rsidR="006061F9" w:rsidRDefault="006061F9">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6061F9" w:rsidRDefault="006061F9">
            <w:pPr>
              <w:jc w:val="right"/>
              <w:rPr>
                <w:rFonts w:ascii="仿宋_GB2312" w:eastAsia="仿宋_GB2312" w:hAnsi="宋体" w:cs="宋体"/>
                <w:b/>
                <w:bCs/>
                <w:color w:val="000000"/>
                <w:sz w:val="24"/>
                <w:szCs w:val="24"/>
              </w:rPr>
            </w:pPr>
            <w:r>
              <w:rPr>
                <w:rFonts w:ascii="仿宋_GB2312" w:eastAsia="仿宋_GB2312" w:hint="eastAsia"/>
                <w:b/>
                <w:bCs/>
                <w:color w:val="000000"/>
              </w:rPr>
              <w:t xml:space="preserve">日    期：                        </w:t>
            </w:r>
          </w:p>
        </w:tc>
      </w:tr>
      <w:tr w:rsidR="006061F9" w:rsidTr="006061F9">
        <w:trPr>
          <w:trHeight w:val="270"/>
        </w:trPr>
        <w:tc>
          <w:tcPr>
            <w:tcW w:w="0" w:type="auto"/>
            <w:tcBorders>
              <w:top w:val="nil"/>
              <w:left w:val="nil"/>
              <w:bottom w:val="nil"/>
              <w:right w:val="nil"/>
            </w:tcBorders>
            <w:shd w:val="clear" w:color="auto" w:fill="auto"/>
            <w:noWrap/>
            <w:vAlign w:val="center"/>
            <w:hideMark/>
          </w:tcPr>
          <w:p w:rsidR="006061F9" w:rsidRDefault="006061F9">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6061F9" w:rsidRDefault="006061F9">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6061F9" w:rsidRDefault="006061F9">
            <w:pPr>
              <w:rPr>
                <w:rFonts w:ascii="宋体" w:eastAsia="宋体" w:hAnsi="宋体" w:cs="宋体"/>
                <w:color w:val="000000"/>
                <w:sz w:val="22"/>
              </w:rPr>
            </w:pPr>
          </w:p>
        </w:tc>
      </w:tr>
      <w:tr w:rsidR="006061F9" w:rsidTr="006061F9">
        <w:trPr>
          <w:trHeight w:val="270"/>
        </w:trPr>
        <w:tc>
          <w:tcPr>
            <w:tcW w:w="0" w:type="auto"/>
            <w:tcBorders>
              <w:top w:val="nil"/>
              <w:left w:val="nil"/>
              <w:bottom w:val="nil"/>
              <w:right w:val="nil"/>
            </w:tcBorders>
            <w:shd w:val="clear" w:color="auto" w:fill="auto"/>
            <w:noWrap/>
            <w:vAlign w:val="center"/>
            <w:hideMark/>
          </w:tcPr>
          <w:p w:rsidR="006061F9" w:rsidRDefault="006061F9">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6061F9" w:rsidRDefault="006061F9">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6061F9" w:rsidRDefault="006061F9">
            <w:pPr>
              <w:rPr>
                <w:rFonts w:ascii="宋体" w:eastAsia="宋体" w:hAnsi="宋体" w:cs="宋体"/>
                <w:color w:val="000000"/>
                <w:sz w:val="22"/>
              </w:rPr>
            </w:pPr>
          </w:p>
        </w:tc>
      </w:tr>
      <w:tr w:rsidR="006061F9" w:rsidTr="006061F9">
        <w:trPr>
          <w:trHeight w:val="270"/>
        </w:trPr>
        <w:tc>
          <w:tcPr>
            <w:tcW w:w="0" w:type="auto"/>
            <w:tcBorders>
              <w:top w:val="nil"/>
              <w:left w:val="nil"/>
              <w:bottom w:val="nil"/>
              <w:right w:val="nil"/>
            </w:tcBorders>
            <w:shd w:val="clear" w:color="auto" w:fill="auto"/>
            <w:noWrap/>
            <w:vAlign w:val="center"/>
            <w:hideMark/>
          </w:tcPr>
          <w:p w:rsidR="006061F9" w:rsidRDefault="006061F9">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6061F9" w:rsidRDefault="006061F9">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6061F9" w:rsidRDefault="006061F9">
            <w:pPr>
              <w:rPr>
                <w:rFonts w:ascii="宋体" w:eastAsia="宋体" w:hAnsi="宋体" w:cs="宋体"/>
                <w:color w:val="000000"/>
                <w:sz w:val="22"/>
              </w:rPr>
            </w:pPr>
          </w:p>
        </w:tc>
      </w:tr>
      <w:tr w:rsidR="006061F9" w:rsidTr="006061F9">
        <w:trPr>
          <w:trHeight w:val="270"/>
        </w:trPr>
        <w:tc>
          <w:tcPr>
            <w:tcW w:w="0" w:type="auto"/>
            <w:tcBorders>
              <w:top w:val="nil"/>
              <w:left w:val="nil"/>
              <w:bottom w:val="nil"/>
              <w:right w:val="nil"/>
            </w:tcBorders>
            <w:shd w:val="clear" w:color="auto" w:fill="auto"/>
            <w:noWrap/>
            <w:vAlign w:val="center"/>
            <w:hideMark/>
          </w:tcPr>
          <w:p w:rsidR="006061F9" w:rsidRDefault="006061F9">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6061F9" w:rsidRDefault="006061F9">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6061F9" w:rsidRDefault="006061F9">
            <w:pPr>
              <w:rPr>
                <w:rFonts w:ascii="宋体" w:eastAsia="宋体" w:hAnsi="宋体" w:cs="宋体"/>
                <w:color w:val="000000"/>
                <w:sz w:val="22"/>
              </w:rPr>
            </w:pPr>
          </w:p>
        </w:tc>
      </w:tr>
      <w:tr w:rsidR="006061F9" w:rsidTr="006061F9">
        <w:trPr>
          <w:trHeight w:val="270"/>
        </w:trPr>
        <w:tc>
          <w:tcPr>
            <w:tcW w:w="0" w:type="auto"/>
            <w:tcBorders>
              <w:top w:val="nil"/>
              <w:left w:val="nil"/>
              <w:bottom w:val="nil"/>
              <w:right w:val="nil"/>
            </w:tcBorders>
            <w:shd w:val="clear" w:color="auto" w:fill="auto"/>
            <w:noWrap/>
            <w:vAlign w:val="center"/>
            <w:hideMark/>
          </w:tcPr>
          <w:p w:rsidR="006061F9" w:rsidRDefault="006061F9">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6061F9" w:rsidRDefault="006061F9">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6061F9" w:rsidRDefault="006061F9">
            <w:pPr>
              <w:rPr>
                <w:rFonts w:ascii="宋体" w:eastAsia="宋体" w:hAnsi="宋体" w:cs="宋体"/>
                <w:color w:val="000000"/>
                <w:sz w:val="22"/>
              </w:rPr>
            </w:pPr>
          </w:p>
        </w:tc>
      </w:tr>
    </w:tbl>
    <w:p w:rsidR="004751F9" w:rsidRDefault="004751F9"/>
    <w:sectPr w:rsidR="004751F9" w:rsidSect="004751F9">
      <w:headerReference w:type="default" r:id="rId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9463C" w:rsidRDefault="0039463C" w:rsidP="000B4277">
      <w:r>
        <w:separator/>
      </w:r>
    </w:p>
  </w:endnote>
  <w:endnote w:type="continuationSeparator" w:id="0">
    <w:p w:rsidR="0039463C" w:rsidRDefault="0039463C" w:rsidP="000B4277">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9463C" w:rsidRDefault="0039463C" w:rsidP="000B4277">
      <w:r>
        <w:separator/>
      </w:r>
    </w:p>
  </w:footnote>
  <w:footnote w:type="continuationSeparator" w:id="0">
    <w:p w:rsidR="0039463C" w:rsidRDefault="0039463C" w:rsidP="000B427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4277" w:rsidRPr="000B4277" w:rsidRDefault="000B4277" w:rsidP="000B4277">
    <w:pPr>
      <w:pStyle w:val="a3"/>
      <w:jc w:val="both"/>
      <w:rPr>
        <w:rFonts w:ascii="宋体" w:hAnsi="宋体"/>
      </w:rPr>
    </w:pPr>
    <w:r w:rsidRPr="004035AE">
      <w:rPr>
        <w:rFonts w:ascii="宋体" w:hAnsi="宋体" w:hint="eastAsia"/>
      </w:rPr>
      <w:t>您可登录：中国理财网（</w:t>
    </w:r>
    <w:r w:rsidRPr="00347494">
      <w:rPr>
        <w:rFonts w:ascii="宋体" w:hAnsi="宋体" w:hint="eastAsia"/>
      </w:rPr>
      <w:t>http://www.chinawealth.com.cn/），查询产品信息，登记编码：</w:t>
    </w:r>
    <w:r>
      <w:rPr>
        <w:rFonts w:ascii="宋体" w:hAnsi="宋体"/>
      </w:rPr>
      <w:t>C103071</w:t>
    </w:r>
    <w:r>
      <w:rPr>
        <w:rFonts w:ascii="宋体" w:hAnsi="宋体" w:hint="eastAsia"/>
      </w:rPr>
      <w:t>5</w:t>
    </w:r>
    <w:r>
      <w:rPr>
        <w:rFonts w:ascii="宋体" w:hAnsi="宋体"/>
      </w:rPr>
      <w:t>00</w:t>
    </w:r>
    <w:r>
      <w:rPr>
        <w:rFonts w:ascii="宋体" w:hAnsi="宋体" w:hint="eastAsia"/>
      </w:rPr>
      <w:t>0145</w:t>
    </w:r>
  </w:p>
  <w:p w:rsidR="000B4277" w:rsidRDefault="000B4277">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6061F9"/>
    <w:rsid w:val="000B4277"/>
    <w:rsid w:val="0039463C"/>
    <w:rsid w:val="004751F9"/>
    <w:rsid w:val="006061F9"/>
    <w:rsid w:val="0082557D"/>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751F9"/>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0B427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0B4277"/>
    <w:rPr>
      <w:sz w:val="18"/>
      <w:szCs w:val="18"/>
    </w:rPr>
  </w:style>
  <w:style w:type="paragraph" w:styleId="a4">
    <w:name w:val="footer"/>
    <w:basedOn w:val="a"/>
    <w:link w:val="Char0"/>
    <w:uiPriority w:val="99"/>
    <w:semiHidden/>
    <w:unhideWhenUsed/>
    <w:rsid w:val="000B4277"/>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0B4277"/>
    <w:rPr>
      <w:sz w:val="18"/>
      <w:szCs w:val="18"/>
    </w:rPr>
  </w:style>
  <w:style w:type="paragraph" w:styleId="a5">
    <w:name w:val="Balloon Text"/>
    <w:basedOn w:val="a"/>
    <w:link w:val="Char1"/>
    <w:uiPriority w:val="99"/>
    <w:semiHidden/>
    <w:unhideWhenUsed/>
    <w:rsid w:val="000B4277"/>
    <w:rPr>
      <w:sz w:val="18"/>
      <w:szCs w:val="18"/>
    </w:rPr>
  </w:style>
  <w:style w:type="character" w:customStyle="1" w:styleId="Char1">
    <w:name w:val="批注框文本 Char"/>
    <w:basedOn w:val="a0"/>
    <w:link w:val="a5"/>
    <w:uiPriority w:val="99"/>
    <w:semiHidden/>
    <w:rsid w:val="000B4277"/>
    <w:rPr>
      <w:sz w:val="18"/>
      <w:szCs w:val="18"/>
    </w:rPr>
  </w:style>
</w:styles>
</file>

<file path=word/webSettings.xml><?xml version="1.0" encoding="utf-8"?>
<w:webSettings xmlns:r="http://schemas.openxmlformats.org/officeDocument/2006/relationships" xmlns:w="http://schemas.openxmlformats.org/wordprocessingml/2006/main">
  <w:divs>
    <w:div w:id="423304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841</Words>
  <Characters>4794</Characters>
  <Application>Microsoft Office Word</Application>
  <DocSecurity>0</DocSecurity>
  <Lines>39</Lines>
  <Paragraphs>11</Paragraphs>
  <ScaleCrop>false</ScaleCrop>
  <Company>sdb</Company>
  <LinksUpToDate>false</LinksUpToDate>
  <CharactersWithSpaces>5624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sdb</dc:creator>
  <cp:keywords/>
  <dc:description/>
  <cp:lastModifiedBy>PINGAN</cp:lastModifiedBy>
  <cp:revision>2</cp:revision>
  <dcterms:created xsi:type="dcterms:W3CDTF">2014-12-19T02:41:00Z</dcterms:created>
  <dcterms:modified xsi:type="dcterms:W3CDTF">2015-01-09T06:28:00Z</dcterms:modified>
</cp:coreProperties>
</file>