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48" w:rsidRPr="00264E55" w:rsidRDefault="00750D48" w:rsidP="00CB1BF3">
      <w:pPr>
        <w:autoSpaceDE w:val="0"/>
        <w:autoSpaceDN w:val="0"/>
        <w:adjustRightInd w:val="0"/>
        <w:spacing w:line="360" w:lineRule="auto"/>
        <w:jc w:val="left"/>
        <w:rPr>
          <w:rFonts w:ascii="宋体"/>
          <w:color w:val="000000"/>
          <w:kern w:val="0"/>
          <w:sz w:val="24"/>
          <w:szCs w:val="24"/>
        </w:rPr>
      </w:pPr>
    </w:p>
    <w:p w:rsidR="00750D48" w:rsidRPr="00264E55" w:rsidRDefault="00750D48" w:rsidP="00CB1BF3">
      <w:pPr>
        <w:autoSpaceDE w:val="0"/>
        <w:autoSpaceDN w:val="0"/>
        <w:adjustRightInd w:val="0"/>
        <w:spacing w:line="360" w:lineRule="auto"/>
        <w:jc w:val="left"/>
        <w:rPr>
          <w:rFonts w:ascii="宋体"/>
          <w:color w:val="000000"/>
          <w:kern w:val="0"/>
          <w:sz w:val="24"/>
          <w:szCs w:val="24"/>
        </w:rPr>
      </w:pPr>
    </w:p>
    <w:p w:rsidR="00750D48" w:rsidRPr="00264E55" w:rsidRDefault="00750D48" w:rsidP="00CB1BF3">
      <w:pPr>
        <w:autoSpaceDE w:val="0"/>
        <w:autoSpaceDN w:val="0"/>
        <w:adjustRightInd w:val="0"/>
        <w:spacing w:line="360" w:lineRule="auto"/>
        <w:jc w:val="left"/>
        <w:rPr>
          <w:rFonts w:ascii="宋体"/>
          <w:color w:val="000000"/>
          <w:kern w:val="0"/>
          <w:sz w:val="24"/>
          <w:szCs w:val="24"/>
        </w:rPr>
      </w:pPr>
    </w:p>
    <w:p w:rsidR="00750D48" w:rsidRPr="00264E55" w:rsidRDefault="00750D48" w:rsidP="00CB1BF3">
      <w:pPr>
        <w:autoSpaceDE w:val="0"/>
        <w:autoSpaceDN w:val="0"/>
        <w:adjustRightInd w:val="0"/>
        <w:spacing w:line="360" w:lineRule="auto"/>
        <w:jc w:val="left"/>
        <w:rPr>
          <w:rFonts w:ascii="宋体"/>
          <w:color w:val="000000"/>
          <w:kern w:val="0"/>
          <w:sz w:val="24"/>
          <w:szCs w:val="24"/>
        </w:rPr>
      </w:pPr>
    </w:p>
    <w:p w:rsidR="00750D48" w:rsidRPr="00974AD0" w:rsidRDefault="00750D48" w:rsidP="00CB1BF3">
      <w:pPr>
        <w:autoSpaceDE w:val="0"/>
        <w:autoSpaceDN w:val="0"/>
        <w:adjustRightInd w:val="0"/>
        <w:spacing w:line="360" w:lineRule="auto"/>
        <w:jc w:val="left"/>
        <w:rPr>
          <w:rFonts w:ascii="微软雅黑" w:eastAsia="微软雅黑" w:hAnsi="微软雅黑"/>
          <w:color w:val="000000"/>
          <w:kern w:val="0"/>
          <w:sz w:val="24"/>
          <w:szCs w:val="24"/>
        </w:rPr>
      </w:pPr>
    </w:p>
    <w:p w:rsidR="00605F2F" w:rsidRPr="00974AD0" w:rsidRDefault="004D62C0" w:rsidP="00CB1BF3">
      <w:pPr>
        <w:spacing w:line="360" w:lineRule="auto"/>
        <w:jc w:val="center"/>
        <w:rPr>
          <w:rFonts w:ascii="微软雅黑" w:eastAsia="微软雅黑" w:hAnsi="微软雅黑"/>
          <w:b/>
          <w:sz w:val="36"/>
          <w:szCs w:val="36"/>
        </w:rPr>
      </w:pPr>
      <w:r w:rsidRPr="00974AD0">
        <w:rPr>
          <w:rFonts w:ascii="微软雅黑" w:eastAsia="微软雅黑" w:hAnsi="微软雅黑" w:hint="eastAsia"/>
          <w:b/>
          <w:sz w:val="36"/>
          <w:szCs w:val="36"/>
        </w:rPr>
        <w:t>平安财富-养老系列A款无忧人生（灵活配置型）</w:t>
      </w:r>
    </w:p>
    <w:p w:rsidR="00750D48" w:rsidRPr="00974AD0" w:rsidRDefault="004D62C0" w:rsidP="00CB1BF3">
      <w:pPr>
        <w:spacing w:line="360" w:lineRule="auto"/>
        <w:jc w:val="center"/>
        <w:rPr>
          <w:rFonts w:ascii="微软雅黑" w:eastAsia="微软雅黑" w:hAnsi="微软雅黑"/>
          <w:b/>
          <w:sz w:val="36"/>
          <w:szCs w:val="36"/>
        </w:rPr>
      </w:pPr>
      <w:r w:rsidRPr="00974AD0">
        <w:rPr>
          <w:rFonts w:ascii="微软雅黑" w:eastAsia="微软雅黑" w:hAnsi="微软雅黑" w:hint="eastAsia"/>
          <w:b/>
          <w:sz w:val="36"/>
          <w:szCs w:val="36"/>
        </w:rPr>
        <w:t>人民币理财产品</w:t>
      </w:r>
    </w:p>
    <w:p w:rsidR="00750D48" w:rsidRPr="00974AD0" w:rsidRDefault="00750D48" w:rsidP="00CB1BF3">
      <w:pPr>
        <w:spacing w:line="360" w:lineRule="auto"/>
        <w:jc w:val="center"/>
        <w:rPr>
          <w:rFonts w:ascii="微软雅黑" w:eastAsia="微软雅黑" w:hAnsi="微软雅黑"/>
          <w:b/>
          <w:sz w:val="36"/>
          <w:szCs w:val="36"/>
        </w:rPr>
      </w:pPr>
      <w:r w:rsidRPr="00974AD0">
        <w:rPr>
          <w:rFonts w:ascii="微软雅黑" w:eastAsia="微软雅黑" w:hAnsi="微软雅黑"/>
          <w:b/>
          <w:sz w:val="36"/>
          <w:szCs w:val="36"/>
        </w:rPr>
        <w:t>2017年</w:t>
      </w:r>
      <w:r w:rsidR="00605F2F" w:rsidRPr="00974AD0">
        <w:rPr>
          <w:rFonts w:ascii="微软雅黑" w:eastAsia="微软雅黑" w:hAnsi="微软雅黑" w:hint="eastAsia"/>
          <w:b/>
          <w:sz w:val="36"/>
          <w:szCs w:val="36"/>
        </w:rPr>
        <w:t>年</w:t>
      </w:r>
      <w:r w:rsidR="00605F2F" w:rsidRPr="00974AD0">
        <w:rPr>
          <w:rFonts w:ascii="微软雅黑" w:eastAsia="微软雅黑" w:hAnsi="微软雅黑"/>
          <w:b/>
          <w:sz w:val="36"/>
          <w:szCs w:val="36"/>
        </w:rPr>
        <w:t>度</w:t>
      </w:r>
      <w:r w:rsidRPr="00974AD0">
        <w:rPr>
          <w:rFonts w:ascii="微软雅黑" w:eastAsia="微软雅黑" w:hAnsi="微软雅黑"/>
          <w:b/>
          <w:sz w:val="36"/>
          <w:szCs w:val="36"/>
        </w:rPr>
        <w:t>报告</w:t>
      </w:r>
    </w:p>
    <w:p w:rsidR="00750D48" w:rsidRPr="00974AD0" w:rsidRDefault="00750D48" w:rsidP="00CB1BF3">
      <w:pPr>
        <w:spacing w:line="360" w:lineRule="auto"/>
        <w:jc w:val="center"/>
        <w:rPr>
          <w:rFonts w:ascii="微软雅黑" w:eastAsia="微软雅黑" w:hAnsi="微软雅黑"/>
          <w:b/>
          <w:bCs/>
          <w:color w:val="000000"/>
          <w:sz w:val="24"/>
          <w:szCs w:val="24"/>
        </w:rPr>
      </w:pPr>
    </w:p>
    <w:p w:rsidR="00605F2F" w:rsidRPr="00974AD0" w:rsidRDefault="00605F2F"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jc w:val="center"/>
        <w:rPr>
          <w:rFonts w:ascii="微软雅黑" w:eastAsia="微软雅黑" w:hAnsi="微软雅黑"/>
          <w:b/>
          <w:bCs/>
          <w:color w:val="000000"/>
          <w:sz w:val="24"/>
          <w:szCs w:val="24"/>
        </w:rPr>
      </w:pPr>
    </w:p>
    <w:p w:rsidR="00750D48" w:rsidRPr="00974AD0" w:rsidRDefault="00750D48" w:rsidP="00CB1BF3">
      <w:pPr>
        <w:spacing w:line="360" w:lineRule="auto"/>
        <w:rPr>
          <w:rFonts w:ascii="微软雅黑" w:eastAsia="微软雅黑" w:hAnsi="微软雅黑"/>
          <w:b/>
          <w:bCs/>
          <w:color w:val="000000"/>
          <w:sz w:val="24"/>
          <w:szCs w:val="24"/>
        </w:rPr>
      </w:pPr>
    </w:p>
    <w:p w:rsidR="004D62C0" w:rsidRPr="00974AD0" w:rsidRDefault="004D62C0" w:rsidP="00CB1BF3">
      <w:pPr>
        <w:spacing w:line="360" w:lineRule="auto"/>
        <w:ind w:firstLineChars="900" w:firstLine="2160"/>
        <w:rPr>
          <w:rFonts w:ascii="微软雅黑" w:eastAsia="微软雅黑" w:hAnsi="微软雅黑"/>
          <w:b/>
          <w:color w:val="000000"/>
          <w:sz w:val="24"/>
          <w:szCs w:val="24"/>
        </w:rPr>
      </w:pPr>
      <w:r w:rsidRPr="00974AD0">
        <w:rPr>
          <w:rFonts w:ascii="微软雅黑" w:eastAsia="微软雅黑" w:hAnsi="微软雅黑" w:hint="eastAsia"/>
          <w:b/>
          <w:color w:val="000000"/>
          <w:sz w:val="24"/>
          <w:szCs w:val="24"/>
        </w:rPr>
        <w:t>理财管理人：平安银行股份有限公司</w:t>
      </w:r>
    </w:p>
    <w:p w:rsidR="00750D48" w:rsidRPr="00974AD0" w:rsidRDefault="004D62C0" w:rsidP="00CB1BF3">
      <w:pPr>
        <w:spacing w:line="360" w:lineRule="auto"/>
        <w:ind w:firstLineChars="900" w:firstLine="2160"/>
        <w:rPr>
          <w:rFonts w:ascii="微软雅黑" w:eastAsia="微软雅黑" w:hAnsi="微软雅黑"/>
          <w:b/>
          <w:color w:val="000000"/>
          <w:sz w:val="24"/>
          <w:szCs w:val="24"/>
        </w:rPr>
      </w:pPr>
      <w:r w:rsidRPr="00974AD0">
        <w:rPr>
          <w:rFonts w:ascii="微软雅黑" w:eastAsia="微软雅黑" w:hAnsi="微软雅黑" w:hint="eastAsia"/>
          <w:b/>
          <w:color w:val="000000"/>
          <w:sz w:val="24"/>
          <w:szCs w:val="24"/>
        </w:rPr>
        <w:t>理财托管人：平安银行股份有限公司</w:t>
      </w:r>
    </w:p>
    <w:p w:rsidR="00750D48" w:rsidRPr="00974AD0" w:rsidRDefault="00750D48" w:rsidP="00CB1BF3">
      <w:pPr>
        <w:spacing w:line="360" w:lineRule="auto"/>
        <w:ind w:firstLineChars="900" w:firstLine="2160"/>
        <w:rPr>
          <w:rFonts w:ascii="微软雅黑" w:eastAsia="微软雅黑" w:hAnsi="微软雅黑"/>
          <w:b/>
          <w:color w:val="000000"/>
          <w:sz w:val="24"/>
          <w:szCs w:val="24"/>
        </w:rPr>
        <w:sectPr w:rsidR="00750D48" w:rsidRPr="00974AD0" w:rsidSect="00CD2321">
          <w:headerReference w:type="default" r:id="rId9"/>
          <w:footerReference w:type="default" r:id="rId10"/>
          <w:pgSz w:w="11907" w:h="16839" w:code="9"/>
          <w:pgMar w:top="1418" w:right="1418" w:bottom="851" w:left="1418" w:header="851" w:footer="992" w:gutter="0"/>
          <w:cols w:space="720"/>
          <w:noEndnote/>
          <w:docGrid w:linePitch="286"/>
        </w:sectPr>
      </w:pPr>
      <w:r w:rsidRPr="00974AD0">
        <w:rPr>
          <w:rFonts w:ascii="微软雅黑" w:eastAsia="微软雅黑" w:hAnsi="微软雅黑" w:hint="eastAsia"/>
          <w:b/>
          <w:color w:val="000000"/>
          <w:sz w:val="24"/>
          <w:szCs w:val="24"/>
        </w:rPr>
        <w:t>报告送出日期：</w:t>
      </w:r>
      <w:r w:rsidRPr="00974AD0">
        <w:rPr>
          <w:rFonts w:ascii="微软雅黑" w:eastAsia="微软雅黑" w:hAnsi="微软雅黑"/>
          <w:b/>
          <w:color w:val="000000"/>
          <w:sz w:val="24"/>
          <w:szCs w:val="24"/>
        </w:rPr>
        <w:t>二〇一七年</w:t>
      </w:r>
      <w:r w:rsidR="00AD1999">
        <w:rPr>
          <w:rFonts w:ascii="微软雅黑" w:eastAsia="微软雅黑" w:hAnsi="微软雅黑" w:hint="eastAsia"/>
          <w:b/>
          <w:color w:val="000000"/>
          <w:sz w:val="24"/>
          <w:szCs w:val="24"/>
        </w:rPr>
        <w:t>十二</w:t>
      </w:r>
      <w:r w:rsidRPr="00974AD0">
        <w:rPr>
          <w:rFonts w:ascii="微软雅黑" w:eastAsia="微软雅黑" w:hAnsi="微软雅黑"/>
          <w:b/>
          <w:color w:val="000000"/>
          <w:sz w:val="24"/>
          <w:szCs w:val="24"/>
        </w:rPr>
        <w:t>月</w:t>
      </w:r>
      <w:r w:rsidR="00410AD7">
        <w:rPr>
          <w:rFonts w:ascii="微软雅黑" w:eastAsia="微软雅黑" w:hAnsi="微软雅黑" w:hint="eastAsia"/>
          <w:b/>
          <w:color w:val="000000"/>
          <w:sz w:val="24"/>
          <w:szCs w:val="24"/>
        </w:rPr>
        <w:t>三十</w:t>
      </w:r>
      <w:r w:rsidR="00AD1999">
        <w:rPr>
          <w:rFonts w:ascii="微软雅黑" w:eastAsia="微软雅黑" w:hAnsi="微软雅黑" w:hint="eastAsia"/>
          <w:b/>
          <w:color w:val="000000"/>
          <w:sz w:val="24"/>
          <w:szCs w:val="24"/>
        </w:rPr>
        <w:t>一</w:t>
      </w:r>
      <w:r w:rsidRPr="00974AD0">
        <w:rPr>
          <w:rFonts w:ascii="微软雅黑" w:eastAsia="微软雅黑" w:hAnsi="微软雅黑"/>
          <w:b/>
          <w:color w:val="000000"/>
          <w:sz w:val="24"/>
          <w:szCs w:val="24"/>
        </w:rPr>
        <w:t>日</w:t>
      </w:r>
    </w:p>
    <w:p w:rsidR="00750D48" w:rsidRPr="00974AD0" w:rsidRDefault="00750D48" w:rsidP="00695D6B">
      <w:pPr>
        <w:pStyle w:val="1"/>
        <w:spacing w:beforeLines="100" w:before="312" w:afterLines="100" w:after="312" w:line="360" w:lineRule="auto"/>
        <w:jc w:val="center"/>
        <w:rPr>
          <w:rFonts w:ascii="微软雅黑" w:eastAsia="微软雅黑" w:hAnsi="微软雅黑"/>
          <w:b w:val="0"/>
          <w:bCs w:val="0"/>
          <w:color w:val="000000"/>
          <w:kern w:val="0"/>
          <w:sz w:val="28"/>
          <w:szCs w:val="24"/>
        </w:rPr>
      </w:pPr>
      <w:r w:rsidRPr="00974AD0">
        <w:rPr>
          <w:rFonts w:ascii="微软雅黑" w:eastAsia="微软雅黑" w:hAnsi="微软雅黑" w:hint="eastAsia"/>
          <w:color w:val="000000"/>
          <w:kern w:val="0"/>
          <w:sz w:val="28"/>
          <w:szCs w:val="24"/>
        </w:rPr>
        <w:lastRenderedPageBreak/>
        <w:t>§</w:t>
      </w:r>
      <w:r w:rsidRPr="00974AD0">
        <w:rPr>
          <w:rFonts w:ascii="微软雅黑" w:eastAsia="微软雅黑" w:hAnsi="微软雅黑"/>
          <w:color w:val="000000"/>
          <w:kern w:val="0"/>
          <w:sz w:val="28"/>
          <w:szCs w:val="24"/>
        </w:rPr>
        <w:t xml:space="preserve">1  </w:t>
      </w:r>
      <w:r w:rsidRPr="00974AD0">
        <w:rPr>
          <w:rFonts w:ascii="微软雅黑" w:eastAsia="微软雅黑" w:hAnsi="微软雅黑" w:hint="eastAsia"/>
          <w:color w:val="000000"/>
          <w:kern w:val="0"/>
          <w:sz w:val="28"/>
          <w:szCs w:val="24"/>
        </w:rPr>
        <w:t>重要提示</w:t>
      </w:r>
    </w:p>
    <w:p w:rsidR="004D62C0" w:rsidRPr="00974AD0" w:rsidRDefault="004D62C0" w:rsidP="00CB1BF3">
      <w:pPr>
        <w:spacing w:line="360" w:lineRule="auto"/>
        <w:ind w:firstLineChars="200" w:firstLine="480"/>
        <w:rPr>
          <w:rFonts w:ascii="微软雅黑" w:eastAsia="微软雅黑" w:hAnsi="微软雅黑"/>
          <w:sz w:val="24"/>
          <w:szCs w:val="28"/>
        </w:rPr>
      </w:pPr>
      <w:r w:rsidRPr="00974AD0">
        <w:rPr>
          <w:rFonts w:ascii="微软雅黑" w:eastAsia="微软雅黑" w:hAnsi="微软雅黑" w:hint="eastAsia"/>
          <w:sz w:val="24"/>
          <w:szCs w:val="28"/>
        </w:rPr>
        <w:t xml:space="preserve">理财管理人承诺以诚实信用、勤勉尽责的原则管理和运用理财资产，但不保证理财一定盈利。 </w:t>
      </w:r>
    </w:p>
    <w:p w:rsidR="004D62C0" w:rsidRPr="00974AD0" w:rsidRDefault="004D62C0" w:rsidP="00CB1BF3">
      <w:pPr>
        <w:spacing w:line="360" w:lineRule="auto"/>
        <w:ind w:firstLineChars="200" w:firstLine="480"/>
        <w:rPr>
          <w:rFonts w:ascii="微软雅黑" w:eastAsia="微软雅黑" w:hAnsi="微软雅黑"/>
          <w:sz w:val="24"/>
          <w:szCs w:val="28"/>
        </w:rPr>
      </w:pPr>
      <w:r w:rsidRPr="00974AD0">
        <w:rPr>
          <w:rFonts w:ascii="微软雅黑" w:eastAsia="微软雅黑" w:hAnsi="微软雅黑" w:hint="eastAsia"/>
          <w:sz w:val="24"/>
          <w:szCs w:val="28"/>
        </w:rPr>
        <w:t>理财的过往业绩并不代表其未来表现。投资有风险，投资者在</w:t>
      </w:r>
      <w:r w:rsidR="00974AD0">
        <w:rPr>
          <w:rFonts w:ascii="微软雅黑" w:eastAsia="微软雅黑" w:hAnsi="微软雅黑" w:hint="eastAsia"/>
          <w:sz w:val="24"/>
          <w:szCs w:val="28"/>
        </w:rPr>
        <w:t>做出</w:t>
      </w:r>
      <w:r w:rsidRPr="00974AD0">
        <w:rPr>
          <w:rFonts w:ascii="微软雅黑" w:eastAsia="微软雅黑" w:hAnsi="微软雅黑" w:hint="eastAsia"/>
          <w:sz w:val="24"/>
          <w:szCs w:val="28"/>
        </w:rPr>
        <w:t xml:space="preserve">投资决策前应仔细阅读本理财的产品说明书。 </w:t>
      </w:r>
    </w:p>
    <w:p w:rsidR="004D62C0" w:rsidRPr="00974AD0" w:rsidRDefault="004D62C0" w:rsidP="00CB1BF3">
      <w:pPr>
        <w:spacing w:line="360" w:lineRule="auto"/>
        <w:ind w:firstLineChars="200" w:firstLine="480"/>
        <w:rPr>
          <w:rFonts w:ascii="微软雅黑" w:eastAsia="微软雅黑" w:hAnsi="微软雅黑"/>
          <w:sz w:val="24"/>
          <w:szCs w:val="28"/>
        </w:rPr>
      </w:pPr>
      <w:r w:rsidRPr="00974AD0">
        <w:rPr>
          <w:rFonts w:ascii="微软雅黑" w:eastAsia="微软雅黑" w:hAnsi="微软雅黑" w:hint="eastAsia"/>
          <w:sz w:val="24"/>
          <w:szCs w:val="28"/>
        </w:rPr>
        <w:t xml:space="preserve">本报告中财务资料未经审计。 </w:t>
      </w:r>
    </w:p>
    <w:p w:rsidR="00750D48" w:rsidRPr="00974AD0" w:rsidRDefault="004D62C0" w:rsidP="00CB1BF3">
      <w:pPr>
        <w:spacing w:line="360" w:lineRule="auto"/>
        <w:ind w:firstLineChars="200" w:firstLine="480"/>
        <w:rPr>
          <w:rFonts w:ascii="微软雅黑" w:eastAsia="微软雅黑" w:hAnsi="微软雅黑"/>
          <w:sz w:val="24"/>
          <w:szCs w:val="28"/>
        </w:rPr>
      </w:pPr>
      <w:r w:rsidRPr="00974AD0">
        <w:rPr>
          <w:rFonts w:ascii="微软雅黑" w:eastAsia="微软雅黑" w:hAnsi="微软雅黑" w:hint="eastAsia"/>
          <w:sz w:val="24"/>
          <w:szCs w:val="28"/>
        </w:rPr>
        <w:t>本报告期自2017年</w:t>
      </w:r>
      <w:r w:rsidR="00605F2F" w:rsidRPr="00974AD0">
        <w:rPr>
          <w:rFonts w:ascii="微软雅黑" w:eastAsia="微软雅黑" w:hAnsi="微软雅黑"/>
          <w:sz w:val="24"/>
          <w:szCs w:val="28"/>
        </w:rPr>
        <w:t>1</w:t>
      </w:r>
      <w:r w:rsidRPr="00974AD0">
        <w:rPr>
          <w:rFonts w:ascii="微软雅黑" w:eastAsia="微软雅黑" w:hAnsi="微软雅黑" w:hint="eastAsia"/>
          <w:sz w:val="24"/>
          <w:szCs w:val="28"/>
        </w:rPr>
        <w:t>月1日起至</w:t>
      </w:r>
      <w:r w:rsidR="00AD1999">
        <w:rPr>
          <w:rFonts w:ascii="微软雅黑" w:eastAsia="微软雅黑" w:hAnsi="微软雅黑"/>
          <w:sz w:val="24"/>
          <w:szCs w:val="28"/>
        </w:rPr>
        <w:t>12</w:t>
      </w:r>
      <w:r w:rsidRPr="00974AD0">
        <w:rPr>
          <w:rFonts w:ascii="微软雅黑" w:eastAsia="微软雅黑" w:hAnsi="微软雅黑" w:hint="eastAsia"/>
          <w:sz w:val="24"/>
          <w:szCs w:val="28"/>
        </w:rPr>
        <w:t>月</w:t>
      </w:r>
      <w:r w:rsidR="00605F2F" w:rsidRPr="00974AD0">
        <w:rPr>
          <w:rFonts w:ascii="微软雅黑" w:eastAsia="微软雅黑" w:hAnsi="微软雅黑"/>
          <w:sz w:val="24"/>
          <w:szCs w:val="28"/>
        </w:rPr>
        <w:t>3</w:t>
      </w:r>
      <w:r w:rsidR="00AD1999">
        <w:rPr>
          <w:rFonts w:ascii="微软雅黑" w:eastAsia="微软雅黑" w:hAnsi="微软雅黑"/>
          <w:sz w:val="24"/>
          <w:szCs w:val="28"/>
        </w:rPr>
        <w:t>1</w:t>
      </w:r>
      <w:r w:rsidRPr="00974AD0">
        <w:rPr>
          <w:rFonts w:ascii="微软雅黑" w:eastAsia="微软雅黑" w:hAnsi="微软雅黑" w:hint="eastAsia"/>
          <w:sz w:val="24"/>
          <w:szCs w:val="28"/>
        </w:rPr>
        <w:t>日止。</w:t>
      </w:r>
    </w:p>
    <w:p w:rsidR="00750D48" w:rsidRPr="00974AD0" w:rsidRDefault="00750D48" w:rsidP="00695D6B">
      <w:pPr>
        <w:pStyle w:val="1"/>
        <w:spacing w:beforeLines="100" w:before="312" w:afterLines="100" w:after="312" w:line="360" w:lineRule="auto"/>
        <w:jc w:val="center"/>
        <w:rPr>
          <w:rFonts w:ascii="微软雅黑" w:eastAsia="微软雅黑" w:hAnsi="微软雅黑"/>
          <w:color w:val="000000"/>
          <w:kern w:val="0"/>
          <w:sz w:val="28"/>
          <w:szCs w:val="24"/>
        </w:rPr>
      </w:pPr>
      <w:r w:rsidRPr="00974AD0">
        <w:rPr>
          <w:rFonts w:ascii="微软雅黑" w:eastAsia="微软雅黑" w:hAnsi="微软雅黑" w:hint="eastAsia"/>
          <w:color w:val="000000"/>
          <w:kern w:val="0"/>
          <w:sz w:val="28"/>
          <w:szCs w:val="24"/>
        </w:rPr>
        <w:t>§</w:t>
      </w:r>
      <w:r w:rsidRPr="00974AD0">
        <w:rPr>
          <w:rFonts w:ascii="微软雅黑" w:eastAsia="微软雅黑" w:hAnsi="微软雅黑"/>
          <w:color w:val="000000"/>
          <w:kern w:val="0"/>
          <w:sz w:val="28"/>
          <w:szCs w:val="24"/>
        </w:rPr>
        <w:t xml:space="preserve">2  </w:t>
      </w:r>
      <w:r w:rsidRPr="00974AD0">
        <w:rPr>
          <w:rFonts w:ascii="微软雅黑" w:eastAsia="微软雅黑" w:hAnsi="微软雅黑" w:hint="eastAsia"/>
          <w:color w:val="000000"/>
          <w:kern w:val="0"/>
          <w:sz w:val="28"/>
          <w:szCs w:val="24"/>
        </w:rPr>
        <w:t>产品概况</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6532"/>
      </w:tblGrid>
      <w:tr w:rsidR="004D62C0" w:rsidRPr="00974AD0" w:rsidTr="004D62C0">
        <w:trPr>
          <w:trHeight w:val="255"/>
        </w:trPr>
        <w:tc>
          <w:tcPr>
            <w:tcW w:w="22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产品名称</w:t>
            </w:r>
          </w:p>
        </w:tc>
        <w:tc>
          <w:tcPr>
            <w:tcW w:w="65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平安财富-养老系列A款无忧人生（灵活配置型）人民币理财产品，简称“养老A</w:t>
            </w:r>
            <w:r w:rsidR="00974AD0">
              <w:rPr>
                <w:rFonts w:ascii="微软雅黑" w:eastAsia="微软雅黑" w:hAnsi="微软雅黑" w:hint="eastAsia"/>
                <w:color w:val="000000"/>
                <w:sz w:val="24"/>
                <w:szCs w:val="24"/>
              </w:rPr>
              <w:t>款</w:t>
            </w:r>
            <w:r w:rsidRPr="00974AD0">
              <w:rPr>
                <w:rFonts w:ascii="微软雅黑" w:eastAsia="微软雅黑" w:hAnsi="微软雅黑" w:hint="eastAsia"/>
                <w:color w:val="000000"/>
                <w:sz w:val="24"/>
                <w:szCs w:val="24"/>
              </w:rPr>
              <w:t>”</w:t>
            </w:r>
            <w:r w:rsidR="00605F2F" w:rsidRPr="00974AD0">
              <w:rPr>
                <w:rFonts w:ascii="微软雅黑" w:eastAsia="微软雅黑" w:hAnsi="微软雅黑" w:hint="eastAsia"/>
                <w:color w:val="000000"/>
                <w:sz w:val="24"/>
                <w:szCs w:val="24"/>
              </w:rPr>
              <w:t>。</w:t>
            </w:r>
          </w:p>
        </w:tc>
      </w:tr>
      <w:tr w:rsidR="004D62C0" w:rsidRPr="00974AD0" w:rsidTr="004D62C0">
        <w:trPr>
          <w:trHeight w:val="99"/>
        </w:trPr>
        <w:tc>
          <w:tcPr>
            <w:tcW w:w="2232" w:type="dxa"/>
          </w:tcPr>
          <w:p w:rsidR="004D62C0" w:rsidRPr="00974AD0" w:rsidRDefault="004D62C0" w:rsidP="00CB1BF3">
            <w:pPr>
              <w:spacing w:line="360" w:lineRule="auto"/>
              <w:rPr>
                <w:rFonts w:ascii="微软雅黑" w:eastAsia="微软雅黑" w:hAnsi="微软雅黑"/>
                <w:sz w:val="24"/>
              </w:rPr>
            </w:pPr>
            <w:r w:rsidRPr="00974AD0">
              <w:rPr>
                <w:rFonts w:ascii="微软雅黑" w:eastAsia="微软雅黑" w:hAnsi="微软雅黑" w:hint="eastAsia"/>
                <w:sz w:val="24"/>
              </w:rPr>
              <w:t>登记编码</w:t>
            </w:r>
          </w:p>
        </w:tc>
        <w:tc>
          <w:tcPr>
            <w:tcW w:w="6532" w:type="dxa"/>
          </w:tcPr>
          <w:p w:rsidR="004D62C0" w:rsidRPr="00974AD0" w:rsidRDefault="00605F2F" w:rsidP="00CB1BF3">
            <w:pPr>
              <w:spacing w:line="360" w:lineRule="auto"/>
              <w:rPr>
                <w:rFonts w:ascii="微软雅黑" w:eastAsia="微软雅黑" w:hAnsi="微软雅黑"/>
                <w:sz w:val="24"/>
              </w:rPr>
            </w:pPr>
            <w:r w:rsidRPr="00974AD0">
              <w:rPr>
                <w:rFonts w:ascii="微软雅黑" w:eastAsia="微软雅黑" w:hAnsi="微软雅黑" w:hint="eastAsia"/>
                <w:color w:val="000000"/>
                <w:sz w:val="24"/>
                <w:szCs w:val="24"/>
              </w:rPr>
              <w:t>产品</w:t>
            </w:r>
            <w:r w:rsidR="004D62C0" w:rsidRPr="00974AD0">
              <w:rPr>
                <w:rFonts w:ascii="微软雅黑" w:eastAsia="微软雅黑" w:hAnsi="微软雅黑" w:hint="eastAsia"/>
                <w:color w:val="000000"/>
                <w:sz w:val="24"/>
                <w:szCs w:val="24"/>
              </w:rPr>
              <w:t>登记编码是C1030716000973,客户可依据该编码在“中国理财网（www.chinawealth.com.cn）”查询该产品信息</w:t>
            </w:r>
            <w:r w:rsidRPr="00974AD0">
              <w:rPr>
                <w:rFonts w:ascii="微软雅黑" w:eastAsia="微软雅黑" w:hAnsi="微软雅黑" w:hint="eastAsia"/>
                <w:color w:val="000000"/>
                <w:sz w:val="24"/>
                <w:szCs w:val="24"/>
              </w:rPr>
              <w:t>。</w:t>
            </w:r>
          </w:p>
        </w:tc>
      </w:tr>
      <w:tr w:rsidR="004D62C0" w:rsidRPr="00974AD0" w:rsidTr="004D62C0">
        <w:trPr>
          <w:trHeight w:val="99"/>
        </w:trPr>
        <w:tc>
          <w:tcPr>
            <w:tcW w:w="22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运作方式</w:t>
            </w:r>
          </w:p>
        </w:tc>
        <w:tc>
          <w:tcPr>
            <w:tcW w:w="65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开放式净值型(封闭期六个月后，每月开放一次)</w:t>
            </w:r>
          </w:p>
        </w:tc>
      </w:tr>
      <w:tr w:rsidR="004D62C0" w:rsidRPr="00974AD0" w:rsidTr="004D62C0">
        <w:trPr>
          <w:trHeight w:val="104"/>
        </w:trPr>
        <w:tc>
          <w:tcPr>
            <w:tcW w:w="22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产品存续期</w:t>
            </w:r>
          </w:p>
        </w:tc>
        <w:tc>
          <w:tcPr>
            <w:tcW w:w="65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本理财产品无固定期限，平安银行有权提前终止本理财产品。实际产品到期日受制于提前终止和延期终止条款。</w:t>
            </w:r>
          </w:p>
        </w:tc>
      </w:tr>
      <w:tr w:rsidR="004D62C0" w:rsidRPr="00974AD0" w:rsidTr="004D62C0">
        <w:trPr>
          <w:trHeight w:val="99"/>
        </w:trPr>
        <w:tc>
          <w:tcPr>
            <w:tcW w:w="22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报告期末份额总额</w:t>
            </w:r>
          </w:p>
        </w:tc>
        <w:tc>
          <w:tcPr>
            <w:tcW w:w="6532" w:type="dxa"/>
          </w:tcPr>
          <w:p w:rsidR="004D62C0" w:rsidRPr="00974AD0" w:rsidRDefault="00FB0C29" w:rsidP="00FB0C29">
            <w:pPr>
              <w:spacing w:line="360" w:lineRule="auto"/>
              <w:rPr>
                <w:rFonts w:ascii="微软雅黑" w:eastAsia="微软雅黑" w:hAnsi="微软雅黑"/>
                <w:color w:val="000000"/>
                <w:sz w:val="24"/>
                <w:szCs w:val="24"/>
              </w:rPr>
            </w:pPr>
            <w:r w:rsidRPr="00FB0C29">
              <w:rPr>
                <w:rFonts w:ascii="微软雅黑" w:eastAsia="微软雅黑" w:hAnsi="微软雅黑"/>
                <w:color w:val="000000"/>
                <w:sz w:val="24"/>
                <w:szCs w:val="24"/>
              </w:rPr>
              <w:t>212651791</w:t>
            </w:r>
            <w:r>
              <w:rPr>
                <w:rFonts w:ascii="微软雅黑" w:eastAsia="微软雅黑" w:hAnsi="微软雅黑"/>
                <w:color w:val="000000"/>
                <w:sz w:val="24"/>
                <w:szCs w:val="24"/>
              </w:rPr>
              <w:t>7.67</w:t>
            </w:r>
            <w:r w:rsidR="004D62C0" w:rsidRPr="00974AD0">
              <w:rPr>
                <w:rFonts w:ascii="微软雅黑" w:eastAsia="微软雅黑" w:hAnsi="微软雅黑" w:hint="eastAsia"/>
                <w:color w:val="000000"/>
                <w:sz w:val="24"/>
                <w:szCs w:val="24"/>
              </w:rPr>
              <w:t>份</w:t>
            </w:r>
          </w:p>
        </w:tc>
      </w:tr>
      <w:tr w:rsidR="004D62C0" w:rsidRPr="00974AD0" w:rsidTr="004D62C0">
        <w:trPr>
          <w:trHeight w:val="255"/>
        </w:trPr>
        <w:tc>
          <w:tcPr>
            <w:tcW w:w="22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产品风险等级</w:t>
            </w:r>
          </w:p>
        </w:tc>
        <w:tc>
          <w:tcPr>
            <w:tcW w:w="65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本产品具有三级（中）风险，在控制风险的前提下，力争为投资者提供稳定的收益。</w:t>
            </w:r>
          </w:p>
        </w:tc>
      </w:tr>
      <w:tr w:rsidR="004D62C0" w:rsidRPr="00974AD0" w:rsidTr="004D62C0">
        <w:trPr>
          <w:trHeight w:val="99"/>
        </w:trPr>
        <w:tc>
          <w:tcPr>
            <w:tcW w:w="22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投资种类及比例</w:t>
            </w:r>
          </w:p>
        </w:tc>
        <w:tc>
          <w:tcPr>
            <w:tcW w:w="6532" w:type="dxa"/>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10%-100%固定收益类资产，0%-50%权益类资产，0%-90%其他资产或资产组合</w:t>
            </w:r>
            <w:r w:rsidR="00605F2F" w:rsidRPr="00974AD0">
              <w:rPr>
                <w:rFonts w:ascii="微软雅黑" w:eastAsia="微软雅黑" w:hAnsi="微软雅黑" w:hint="eastAsia"/>
                <w:color w:val="000000"/>
                <w:sz w:val="24"/>
                <w:szCs w:val="24"/>
              </w:rPr>
              <w:t>。</w:t>
            </w:r>
          </w:p>
        </w:tc>
      </w:tr>
    </w:tbl>
    <w:p w:rsidR="00750D48" w:rsidRPr="00974AD0" w:rsidRDefault="00750D48" w:rsidP="00695D6B">
      <w:pPr>
        <w:pStyle w:val="1"/>
        <w:spacing w:beforeLines="100" w:before="312" w:afterLines="100" w:after="312" w:line="360" w:lineRule="auto"/>
        <w:jc w:val="center"/>
        <w:rPr>
          <w:rFonts w:ascii="微软雅黑" w:eastAsia="微软雅黑" w:hAnsi="微软雅黑"/>
          <w:color w:val="000000"/>
          <w:kern w:val="0"/>
          <w:sz w:val="28"/>
          <w:szCs w:val="24"/>
        </w:rPr>
      </w:pPr>
      <w:r w:rsidRPr="00974AD0">
        <w:rPr>
          <w:rFonts w:ascii="微软雅黑" w:eastAsia="微软雅黑" w:hAnsi="微软雅黑" w:hint="eastAsia"/>
          <w:color w:val="000000"/>
          <w:kern w:val="0"/>
          <w:sz w:val="28"/>
          <w:szCs w:val="24"/>
        </w:rPr>
        <w:lastRenderedPageBreak/>
        <w:t>§</w:t>
      </w:r>
      <w:r w:rsidRPr="00974AD0">
        <w:rPr>
          <w:rFonts w:ascii="微软雅黑" w:eastAsia="微软雅黑" w:hAnsi="微软雅黑"/>
          <w:color w:val="000000"/>
          <w:kern w:val="0"/>
          <w:sz w:val="28"/>
          <w:szCs w:val="24"/>
        </w:rPr>
        <w:t xml:space="preserve">3  </w:t>
      </w:r>
      <w:r w:rsidR="00974AD0" w:rsidRPr="00974AD0">
        <w:rPr>
          <w:rFonts w:ascii="微软雅黑" w:eastAsia="微软雅黑" w:hAnsi="微软雅黑" w:hint="eastAsia"/>
          <w:color w:val="000000"/>
          <w:kern w:val="0"/>
          <w:sz w:val="28"/>
          <w:szCs w:val="24"/>
        </w:rPr>
        <w:t>规模财务</w:t>
      </w:r>
      <w:r w:rsidR="00974AD0" w:rsidRPr="00974AD0">
        <w:rPr>
          <w:rFonts w:ascii="微软雅黑" w:eastAsia="微软雅黑" w:hAnsi="微软雅黑"/>
          <w:color w:val="000000"/>
          <w:kern w:val="0"/>
          <w:sz w:val="28"/>
          <w:szCs w:val="24"/>
        </w:rPr>
        <w:t>指标</w:t>
      </w:r>
      <w:r w:rsidRPr="00974AD0">
        <w:rPr>
          <w:rFonts w:ascii="微软雅黑" w:eastAsia="微软雅黑" w:hAnsi="微软雅黑" w:hint="eastAsia"/>
          <w:color w:val="000000"/>
          <w:kern w:val="0"/>
          <w:sz w:val="28"/>
          <w:szCs w:val="24"/>
        </w:rPr>
        <w:t>和净值表现</w:t>
      </w:r>
    </w:p>
    <w:p w:rsidR="00750D48" w:rsidRPr="00974AD0" w:rsidRDefault="00750D48" w:rsidP="00CB1BF3">
      <w:pPr>
        <w:autoSpaceDE w:val="0"/>
        <w:autoSpaceDN w:val="0"/>
        <w:adjustRightInd w:val="0"/>
        <w:spacing w:line="360" w:lineRule="auto"/>
        <w:jc w:val="left"/>
        <w:rPr>
          <w:rFonts w:ascii="微软雅黑" w:eastAsia="微软雅黑" w:hAnsi="微软雅黑"/>
          <w:b/>
          <w:bCs/>
          <w:color w:val="000000"/>
          <w:kern w:val="0"/>
          <w:sz w:val="24"/>
          <w:szCs w:val="24"/>
        </w:rPr>
      </w:pPr>
      <w:r w:rsidRPr="00974AD0">
        <w:rPr>
          <w:rFonts w:ascii="微软雅黑" w:eastAsia="微软雅黑" w:hAnsi="微软雅黑"/>
          <w:b/>
          <w:bCs/>
          <w:color w:val="000000"/>
          <w:kern w:val="0"/>
          <w:sz w:val="24"/>
          <w:szCs w:val="24"/>
        </w:rPr>
        <w:t xml:space="preserve">3.1 </w:t>
      </w:r>
      <w:r w:rsidRPr="00974AD0">
        <w:rPr>
          <w:rFonts w:ascii="微软雅黑" w:eastAsia="微软雅黑" w:hAnsi="微软雅黑" w:hint="eastAsia"/>
          <w:b/>
          <w:bCs/>
          <w:color w:val="000000"/>
          <w:kern w:val="0"/>
          <w:sz w:val="24"/>
          <w:szCs w:val="24"/>
        </w:rPr>
        <w:t>主要财务指标</w:t>
      </w:r>
    </w:p>
    <w:p w:rsidR="004D62C0" w:rsidRPr="00974AD0" w:rsidRDefault="00750D48" w:rsidP="00CB1BF3">
      <w:pPr>
        <w:autoSpaceDE w:val="0"/>
        <w:autoSpaceDN w:val="0"/>
        <w:adjustRightInd w:val="0"/>
        <w:spacing w:before="29" w:line="360" w:lineRule="auto"/>
        <w:ind w:left="15"/>
        <w:jc w:val="right"/>
        <w:rPr>
          <w:rFonts w:ascii="微软雅黑" w:eastAsia="微软雅黑" w:hAnsi="微软雅黑"/>
          <w:color w:val="000000"/>
          <w:kern w:val="0"/>
          <w:sz w:val="24"/>
          <w:szCs w:val="24"/>
        </w:rPr>
      </w:pPr>
      <w:r w:rsidRPr="00974AD0">
        <w:rPr>
          <w:rFonts w:ascii="微软雅黑" w:eastAsia="微软雅黑" w:hAnsi="微软雅黑" w:cs="宋体" w:hint="eastAsia"/>
          <w:color w:val="000000"/>
          <w:kern w:val="0"/>
          <w:sz w:val="24"/>
          <w:szCs w:val="24"/>
        </w:rPr>
        <w:t>单位：人民币元</w:t>
      </w:r>
    </w:p>
    <w:tbl>
      <w:tblPr>
        <w:tblW w:w="104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7"/>
        <w:gridCol w:w="1842"/>
        <w:gridCol w:w="2268"/>
        <w:gridCol w:w="1707"/>
      </w:tblGrid>
      <w:tr w:rsidR="004D62C0" w:rsidRPr="00974AD0" w:rsidTr="00B41A72">
        <w:trPr>
          <w:trHeight w:val="255"/>
        </w:trPr>
        <w:tc>
          <w:tcPr>
            <w:tcW w:w="2552" w:type="dxa"/>
            <w:shd w:val="clear" w:color="auto" w:fill="BFBFBF" w:themeFill="background1" w:themeFillShade="BF"/>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主要财务指标</w:t>
            </w:r>
          </w:p>
        </w:tc>
        <w:tc>
          <w:tcPr>
            <w:tcW w:w="2127" w:type="dxa"/>
            <w:shd w:val="clear" w:color="auto" w:fill="BFBFBF" w:themeFill="background1" w:themeFillShade="BF"/>
          </w:tcPr>
          <w:p w:rsidR="004D62C0" w:rsidRPr="00974AD0" w:rsidRDefault="00E973E9" w:rsidP="00CB1BF3">
            <w:pPr>
              <w:spacing w:line="360" w:lineRule="auto"/>
              <w:rPr>
                <w:rFonts w:ascii="微软雅黑" w:eastAsia="微软雅黑" w:hAnsi="微软雅黑"/>
                <w:color w:val="000000"/>
                <w:sz w:val="24"/>
                <w:szCs w:val="24"/>
              </w:rPr>
            </w:pPr>
            <w:r>
              <w:rPr>
                <w:rFonts w:ascii="微软雅黑" w:eastAsia="微软雅黑" w:hAnsi="微软雅黑" w:hint="eastAsia"/>
                <w:color w:val="000000"/>
                <w:sz w:val="24"/>
                <w:szCs w:val="24"/>
              </w:rPr>
              <w:t>本期实现收入</w:t>
            </w:r>
          </w:p>
        </w:tc>
        <w:tc>
          <w:tcPr>
            <w:tcW w:w="1842" w:type="dxa"/>
            <w:shd w:val="clear" w:color="auto" w:fill="BFBFBF" w:themeFill="background1" w:themeFillShade="BF"/>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本期利润</w:t>
            </w:r>
          </w:p>
        </w:tc>
        <w:tc>
          <w:tcPr>
            <w:tcW w:w="2268" w:type="dxa"/>
            <w:shd w:val="clear" w:color="auto" w:fill="BFBFBF" w:themeFill="background1" w:themeFillShade="BF"/>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期末资产净值</w:t>
            </w:r>
          </w:p>
        </w:tc>
        <w:tc>
          <w:tcPr>
            <w:tcW w:w="1707" w:type="dxa"/>
            <w:shd w:val="clear" w:color="auto" w:fill="BFBFBF" w:themeFill="background1" w:themeFillShade="BF"/>
          </w:tcPr>
          <w:p w:rsidR="004D62C0" w:rsidRPr="00974AD0" w:rsidRDefault="004D62C0"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期末产品净值</w:t>
            </w:r>
          </w:p>
        </w:tc>
      </w:tr>
      <w:tr w:rsidR="004D62C0" w:rsidRPr="00974AD0" w:rsidTr="00B41A72">
        <w:trPr>
          <w:trHeight w:val="422"/>
        </w:trPr>
        <w:tc>
          <w:tcPr>
            <w:tcW w:w="2552" w:type="dxa"/>
          </w:tcPr>
          <w:p w:rsidR="004D62C0" w:rsidRPr="00974AD0" w:rsidRDefault="004D62C0" w:rsidP="00B41A72">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报告期（2017年</w:t>
            </w:r>
            <w:r w:rsidR="00605F2F" w:rsidRPr="00974AD0">
              <w:rPr>
                <w:rFonts w:ascii="微软雅黑" w:eastAsia="微软雅黑" w:hAnsi="微软雅黑" w:hint="eastAsia"/>
                <w:color w:val="000000"/>
                <w:sz w:val="24"/>
                <w:szCs w:val="24"/>
              </w:rPr>
              <w:t>1</w:t>
            </w:r>
            <w:r w:rsidRPr="00974AD0">
              <w:rPr>
                <w:rFonts w:ascii="微软雅黑" w:eastAsia="微软雅黑" w:hAnsi="微软雅黑" w:hint="eastAsia"/>
                <w:color w:val="000000"/>
                <w:sz w:val="24"/>
                <w:szCs w:val="24"/>
              </w:rPr>
              <w:t>月1日－</w:t>
            </w:r>
            <w:r w:rsidR="00B41A72">
              <w:rPr>
                <w:rFonts w:ascii="微软雅黑" w:eastAsia="微软雅黑" w:hAnsi="微软雅黑"/>
                <w:color w:val="000000"/>
                <w:sz w:val="24"/>
                <w:szCs w:val="24"/>
              </w:rPr>
              <w:t>12</w:t>
            </w:r>
            <w:r w:rsidRPr="00974AD0">
              <w:rPr>
                <w:rFonts w:ascii="微软雅黑" w:eastAsia="微软雅黑" w:hAnsi="微软雅黑" w:hint="eastAsia"/>
                <w:color w:val="000000"/>
                <w:sz w:val="24"/>
                <w:szCs w:val="24"/>
              </w:rPr>
              <w:t>月</w:t>
            </w:r>
            <w:r w:rsidR="00B37A8C" w:rsidRPr="00974AD0">
              <w:rPr>
                <w:rFonts w:ascii="微软雅黑" w:eastAsia="微软雅黑" w:hAnsi="微软雅黑" w:hint="eastAsia"/>
                <w:color w:val="000000"/>
                <w:sz w:val="24"/>
                <w:szCs w:val="24"/>
              </w:rPr>
              <w:t>3</w:t>
            </w:r>
            <w:r w:rsidR="00B41A72">
              <w:rPr>
                <w:rFonts w:ascii="微软雅黑" w:eastAsia="微软雅黑" w:hAnsi="微软雅黑"/>
                <w:color w:val="000000"/>
                <w:sz w:val="24"/>
                <w:szCs w:val="24"/>
              </w:rPr>
              <w:t>1</w:t>
            </w:r>
            <w:r w:rsidRPr="00974AD0">
              <w:rPr>
                <w:rFonts w:ascii="微软雅黑" w:eastAsia="微软雅黑" w:hAnsi="微软雅黑" w:hint="eastAsia"/>
                <w:color w:val="000000"/>
                <w:sz w:val="24"/>
                <w:szCs w:val="24"/>
              </w:rPr>
              <w:t>日）</w:t>
            </w:r>
          </w:p>
        </w:tc>
        <w:tc>
          <w:tcPr>
            <w:tcW w:w="2127" w:type="dxa"/>
          </w:tcPr>
          <w:p w:rsidR="004D62C0" w:rsidRPr="00974AD0" w:rsidRDefault="00973260" w:rsidP="00B41A72">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 xml:space="preserve"> </w:t>
            </w:r>
            <w:r w:rsidR="00B41A72">
              <w:rPr>
                <w:rFonts w:ascii="微软雅黑" w:eastAsia="微软雅黑" w:hAnsi="微软雅黑"/>
                <w:color w:val="000000"/>
                <w:sz w:val="24"/>
                <w:szCs w:val="24"/>
              </w:rPr>
              <w:t>113639927.2</w:t>
            </w:r>
            <w:r w:rsidR="00FE743C">
              <w:rPr>
                <w:rFonts w:ascii="微软雅黑" w:eastAsia="微软雅黑" w:hAnsi="微软雅黑"/>
                <w:color w:val="000000"/>
                <w:sz w:val="24"/>
                <w:szCs w:val="24"/>
              </w:rPr>
              <w:t>0</w:t>
            </w:r>
          </w:p>
        </w:tc>
        <w:tc>
          <w:tcPr>
            <w:tcW w:w="1842" w:type="dxa"/>
          </w:tcPr>
          <w:p w:rsidR="004D62C0" w:rsidRPr="00974AD0" w:rsidRDefault="00B41A72" w:rsidP="00CB1BF3">
            <w:pPr>
              <w:spacing w:line="360" w:lineRule="auto"/>
              <w:rPr>
                <w:rFonts w:ascii="微软雅黑" w:eastAsia="微软雅黑" w:hAnsi="微软雅黑"/>
                <w:color w:val="000000"/>
                <w:sz w:val="24"/>
                <w:szCs w:val="24"/>
              </w:rPr>
            </w:pPr>
            <w:r>
              <w:rPr>
                <w:rFonts w:ascii="微软雅黑" w:eastAsia="微软雅黑" w:hAnsi="微软雅黑"/>
                <w:color w:val="000000"/>
                <w:sz w:val="24"/>
                <w:szCs w:val="24"/>
              </w:rPr>
              <w:t>10297696.66</w:t>
            </w:r>
          </w:p>
        </w:tc>
        <w:tc>
          <w:tcPr>
            <w:tcW w:w="2268" w:type="dxa"/>
          </w:tcPr>
          <w:p w:rsidR="004D62C0" w:rsidRPr="00974AD0" w:rsidRDefault="00D844EA" w:rsidP="00CB1BF3">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1,361,803,259.87</w:t>
            </w:r>
          </w:p>
        </w:tc>
        <w:tc>
          <w:tcPr>
            <w:tcW w:w="1707" w:type="dxa"/>
          </w:tcPr>
          <w:p w:rsidR="004D62C0" w:rsidRPr="00974AD0" w:rsidRDefault="00973260" w:rsidP="00B41A72">
            <w:pPr>
              <w:spacing w:line="360" w:lineRule="auto"/>
              <w:rPr>
                <w:rFonts w:ascii="微软雅黑" w:eastAsia="微软雅黑" w:hAnsi="微软雅黑"/>
                <w:color w:val="000000"/>
                <w:sz w:val="24"/>
                <w:szCs w:val="24"/>
              </w:rPr>
            </w:pPr>
            <w:r w:rsidRPr="00974AD0">
              <w:rPr>
                <w:rFonts w:ascii="微软雅黑" w:eastAsia="微软雅黑" w:hAnsi="微软雅黑" w:hint="eastAsia"/>
                <w:color w:val="000000"/>
                <w:sz w:val="24"/>
                <w:szCs w:val="24"/>
              </w:rPr>
              <w:t>1.0</w:t>
            </w:r>
            <w:r w:rsidR="00B41A72">
              <w:rPr>
                <w:rFonts w:ascii="微软雅黑" w:eastAsia="微软雅黑" w:hAnsi="微软雅黑"/>
                <w:color w:val="000000"/>
                <w:sz w:val="24"/>
                <w:szCs w:val="24"/>
              </w:rPr>
              <w:t>672</w:t>
            </w:r>
          </w:p>
        </w:tc>
      </w:tr>
    </w:tbl>
    <w:p w:rsidR="00974AD0" w:rsidRDefault="00974AD0" w:rsidP="00CB1BF3">
      <w:pPr>
        <w:autoSpaceDE w:val="0"/>
        <w:autoSpaceDN w:val="0"/>
        <w:adjustRightInd w:val="0"/>
        <w:spacing w:line="360" w:lineRule="auto"/>
        <w:jc w:val="left"/>
        <w:rPr>
          <w:rFonts w:ascii="宋体" w:hAnsi="宋体"/>
          <w:b/>
          <w:bCs/>
          <w:color w:val="000000"/>
          <w:kern w:val="0"/>
          <w:sz w:val="24"/>
          <w:szCs w:val="24"/>
        </w:rPr>
      </w:pPr>
    </w:p>
    <w:p w:rsidR="00974AD0" w:rsidRPr="00974AD0" w:rsidRDefault="00750D48" w:rsidP="00CB1BF3">
      <w:pPr>
        <w:autoSpaceDE w:val="0"/>
        <w:autoSpaceDN w:val="0"/>
        <w:adjustRightInd w:val="0"/>
        <w:spacing w:line="360" w:lineRule="auto"/>
        <w:jc w:val="left"/>
        <w:rPr>
          <w:rFonts w:ascii="微软雅黑" w:eastAsia="微软雅黑" w:hAnsi="微软雅黑"/>
          <w:b/>
          <w:bCs/>
          <w:color w:val="000000"/>
          <w:kern w:val="0"/>
          <w:sz w:val="24"/>
          <w:szCs w:val="24"/>
        </w:rPr>
      </w:pPr>
      <w:r w:rsidRPr="00974AD0">
        <w:rPr>
          <w:rFonts w:ascii="微软雅黑" w:eastAsia="微软雅黑" w:hAnsi="微软雅黑"/>
          <w:b/>
          <w:bCs/>
          <w:color w:val="000000"/>
          <w:kern w:val="0"/>
          <w:sz w:val="24"/>
          <w:szCs w:val="24"/>
        </w:rPr>
        <w:t>3.2</w:t>
      </w:r>
      <w:r w:rsidR="00CD2923" w:rsidRPr="00974AD0">
        <w:rPr>
          <w:rFonts w:ascii="微软雅黑" w:eastAsia="微软雅黑" w:hAnsi="微软雅黑"/>
          <w:b/>
          <w:bCs/>
          <w:color w:val="000000"/>
          <w:kern w:val="0"/>
          <w:sz w:val="24"/>
          <w:szCs w:val="24"/>
        </w:rPr>
        <w:t xml:space="preserve"> </w:t>
      </w:r>
      <w:r w:rsidR="00974AD0" w:rsidRPr="00974AD0">
        <w:rPr>
          <w:rFonts w:ascii="微软雅黑" w:eastAsia="微软雅黑" w:hAnsi="微软雅黑"/>
          <w:b/>
          <w:bCs/>
          <w:color w:val="000000"/>
          <w:kern w:val="0"/>
          <w:sz w:val="24"/>
          <w:szCs w:val="24"/>
        </w:rPr>
        <w:t xml:space="preserve"> </w:t>
      </w:r>
      <w:r w:rsidR="00974AD0" w:rsidRPr="00974AD0">
        <w:rPr>
          <w:rFonts w:ascii="微软雅黑" w:eastAsia="微软雅黑" w:hAnsi="微软雅黑" w:hint="eastAsia"/>
          <w:b/>
          <w:bCs/>
          <w:color w:val="000000"/>
          <w:kern w:val="0"/>
          <w:sz w:val="24"/>
          <w:szCs w:val="24"/>
        </w:rPr>
        <w:t>产品</w:t>
      </w:r>
      <w:r w:rsidR="00974AD0" w:rsidRPr="00974AD0">
        <w:rPr>
          <w:rFonts w:ascii="微软雅黑" w:eastAsia="微软雅黑" w:hAnsi="微软雅黑"/>
          <w:b/>
          <w:bCs/>
          <w:color w:val="000000"/>
          <w:kern w:val="0"/>
          <w:sz w:val="24"/>
          <w:szCs w:val="24"/>
        </w:rPr>
        <w:t>规模情况</w:t>
      </w:r>
    </w:p>
    <w:p w:rsidR="00974AD0" w:rsidRDefault="00A0324E" w:rsidP="00CB1BF3">
      <w:pPr>
        <w:spacing w:line="360" w:lineRule="auto"/>
        <w:ind w:firstLineChars="200" w:firstLine="480"/>
        <w:rPr>
          <w:rFonts w:ascii="微软雅黑" w:eastAsia="微软雅黑" w:hAnsi="微软雅黑"/>
          <w:sz w:val="24"/>
          <w:szCs w:val="28"/>
        </w:rPr>
      </w:pPr>
      <w:r w:rsidRPr="00A0324E">
        <w:rPr>
          <w:rFonts w:ascii="微软雅黑" w:eastAsia="微软雅黑" w:hAnsi="微软雅黑" w:hint="eastAsia"/>
          <w:sz w:val="24"/>
          <w:szCs w:val="28"/>
        </w:rPr>
        <w:t>养老A款产品期初规模为19.98亿元，期末产品规模</w:t>
      </w:r>
      <w:r w:rsidR="00B41A72">
        <w:rPr>
          <w:rFonts w:ascii="微软雅黑" w:eastAsia="微软雅黑" w:hAnsi="微软雅黑"/>
          <w:sz w:val="24"/>
          <w:szCs w:val="28"/>
        </w:rPr>
        <w:t>22.59</w:t>
      </w:r>
      <w:r w:rsidRPr="00A0324E">
        <w:rPr>
          <w:rFonts w:ascii="微软雅黑" w:eastAsia="微软雅黑" w:hAnsi="微软雅黑" w:hint="eastAsia"/>
          <w:sz w:val="24"/>
          <w:szCs w:val="28"/>
        </w:rPr>
        <w:t>亿元。</w:t>
      </w:r>
    </w:p>
    <w:p w:rsidR="00974AD0" w:rsidRDefault="00B41A72" w:rsidP="00B41A72">
      <w:pPr>
        <w:spacing w:line="360" w:lineRule="auto"/>
        <w:ind w:firstLineChars="200" w:firstLine="420"/>
        <w:rPr>
          <w:rFonts w:ascii="宋体" w:hAnsi="宋体"/>
          <w:b/>
          <w:bCs/>
          <w:color w:val="000000"/>
          <w:kern w:val="0"/>
          <w:sz w:val="24"/>
          <w:szCs w:val="24"/>
        </w:rPr>
      </w:pPr>
      <w:r>
        <w:rPr>
          <w:noProof/>
        </w:rPr>
        <w:drawing>
          <wp:inline distT="0" distB="0" distL="0" distR="0" wp14:anchorId="054B3F39" wp14:editId="4D07773B">
            <wp:extent cx="4686300" cy="254317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D48" w:rsidRPr="00974AD0" w:rsidRDefault="00974AD0" w:rsidP="00CB1BF3">
      <w:pPr>
        <w:autoSpaceDE w:val="0"/>
        <w:autoSpaceDN w:val="0"/>
        <w:adjustRightInd w:val="0"/>
        <w:spacing w:line="360" w:lineRule="auto"/>
        <w:jc w:val="left"/>
        <w:rPr>
          <w:rFonts w:ascii="微软雅黑" w:eastAsia="微软雅黑" w:hAnsi="微软雅黑"/>
          <w:b/>
          <w:bCs/>
          <w:color w:val="000000"/>
          <w:kern w:val="0"/>
          <w:sz w:val="24"/>
          <w:szCs w:val="24"/>
        </w:rPr>
      </w:pPr>
      <w:r w:rsidRPr="00974AD0">
        <w:rPr>
          <w:rFonts w:ascii="微软雅黑" w:eastAsia="微软雅黑" w:hAnsi="微软雅黑" w:hint="eastAsia"/>
          <w:b/>
          <w:bCs/>
          <w:color w:val="000000"/>
          <w:kern w:val="0"/>
          <w:sz w:val="24"/>
          <w:szCs w:val="24"/>
        </w:rPr>
        <w:t xml:space="preserve">3.3  </w:t>
      </w:r>
      <w:r w:rsidR="004D62C0" w:rsidRPr="00974AD0">
        <w:rPr>
          <w:rFonts w:ascii="微软雅黑" w:eastAsia="微软雅黑" w:hAnsi="微软雅黑" w:hint="eastAsia"/>
          <w:b/>
          <w:bCs/>
          <w:color w:val="000000"/>
          <w:kern w:val="0"/>
          <w:sz w:val="24"/>
          <w:szCs w:val="24"/>
        </w:rPr>
        <w:t>产品净值表现</w:t>
      </w:r>
    </w:p>
    <w:p w:rsidR="00974AD0" w:rsidRDefault="004D62C0" w:rsidP="00CB1BF3">
      <w:pPr>
        <w:spacing w:line="360" w:lineRule="auto"/>
        <w:ind w:firstLineChars="200" w:firstLine="480"/>
        <w:rPr>
          <w:rFonts w:ascii="微软雅黑" w:eastAsia="微软雅黑" w:hAnsi="微软雅黑"/>
          <w:sz w:val="24"/>
          <w:szCs w:val="28"/>
        </w:rPr>
      </w:pPr>
      <w:r w:rsidRPr="00974AD0">
        <w:rPr>
          <w:rFonts w:ascii="微软雅黑" w:eastAsia="微软雅黑" w:hAnsi="微软雅黑"/>
          <w:sz w:val="24"/>
          <w:szCs w:val="28"/>
        </w:rPr>
        <w:t>根据发行时的信息公告和产品说明书的约定，</w:t>
      </w:r>
      <w:r w:rsidRPr="00974AD0">
        <w:rPr>
          <w:rFonts w:ascii="微软雅黑" w:eastAsia="微软雅黑" w:hAnsi="微软雅黑" w:hint="eastAsia"/>
          <w:sz w:val="24"/>
          <w:szCs w:val="28"/>
        </w:rPr>
        <w:t>产品</w:t>
      </w:r>
      <w:r w:rsidRPr="00974AD0">
        <w:rPr>
          <w:rFonts w:ascii="微软雅黑" w:eastAsia="微软雅黑" w:hAnsi="微软雅黑"/>
          <w:sz w:val="24"/>
          <w:szCs w:val="28"/>
        </w:rPr>
        <w:t>自201</w:t>
      </w:r>
      <w:r w:rsidRPr="00974AD0">
        <w:rPr>
          <w:rFonts w:ascii="微软雅黑" w:eastAsia="微软雅黑" w:hAnsi="微软雅黑" w:hint="eastAsia"/>
          <w:sz w:val="24"/>
          <w:szCs w:val="28"/>
        </w:rPr>
        <w:t>6</w:t>
      </w:r>
      <w:r w:rsidRPr="00974AD0">
        <w:rPr>
          <w:rFonts w:ascii="微软雅黑" w:eastAsia="微软雅黑" w:hAnsi="微软雅黑"/>
          <w:sz w:val="24"/>
          <w:szCs w:val="28"/>
        </w:rPr>
        <w:t>年10月14</w:t>
      </w:r>
      <w:r w:rsidRPr="00974AD0">
        <w:rPr>
          <w:rFonts w:ascii="微软雅黑" w:eastAsia="微软雅黑" w:hAnsi="微软雅黑" w:hint="eastAsia"/>
          <w:sz w:val="24"/>
          <w:szCs w:val="28"/>
        </w:rPr>
        <w:t>成立后每周公布</w:t>
      </w:r>
      <w:r w:rsidR="000E348F">
        <w:rPr>
          <w:rFonts w:ascii="微软雅黑" w:eastAsia="微软雅黑" w:hAnsi="微软雅黑"/>
          <w:sz w:val="24"/>
          <w:szCs w:val="28"/>
        </w:rPr>
        <w:t>产品</w:t>
      </w:r>
      <w:r w:rsidR="00410AD7">
        <w:rPr>
          <w:rFonts w:ascii="微软雅黑" w:eastAsia="微软雅黑" w:hAnsi="微软雅黑" w:hint="eastAsia"/>
          <w:sz w:val="24"/>
          <w:szCs w:val="28"/>
        </w:rPr>
        <w:t>参考</w:t>
      </w:r>
      <w:r w:rsidR="000E348F">
        <w:rPr>
          <w:rFonts w:ascii="微软雅黑" w:eastAsia="微软雅黑" w:hAnsi="微软雅黑"/>
          <w:sz w:val="24"/>
          <w:szCs w:val="28"/>
        </w:rPr>
        <w:t>净值与</w:t>
      </w:r>
      <w:r w:rsidR="00974AD0">
        <w:rPr>
          <w:rFonts w:ascii="微软雅黑" w:eastAsia="微软雅黑" w:hAnsi="微软雅黑"/>
          <w:sz w:val="24"/>
          <w:szCs w:val="28"/>
        </w:rPr>
        <w:t>参考年化收益</w:t>
      </w:r>
      <w:r w:rsidR="00974AD0" w:rsidRPr="00A0324E">
        <w:rPr>
          <w:rFonts w:ascii="微软雅黑" w:eastAsia="微软雅黑" w:hAnsi="微软雅黑"/>
          <w:sz w:val="24"/>
          <w:szCs w:val="28"/>
        </w:rPr>
        <w:t>率</w:t>
      </w:r>
      <w:r w:rsidR="00974AD0" w:rsidRPr="00A0324E">
        <w:rPr>
          <w:rFonts w:ascii="微软雅黑" w:eastAsia="微软雅黑" w:hAnsi="微软雅黑" w:hint="eastAsia"/>
          <w:sz w:val="24"/>
          <w:szCs w:val="28"/>
        </w:rPr>
        <w:t>。</w:t>
      </w:r>
    </w:p>
    <w:p w:rsidR="004D62C0" w:rsidRPr="00A0324E" w:rsidRDefault="00974AD0" w:rsidP="00CB1BF3">
      <w:pPr>
        <w:spacing w:line="360" w:lineRule="auto"/>
        <w:ind w:firstLineChars="200" w:firstLine="480"/>
        <w:rPr>
          <w:rFonts w:ascii="微软雅黑" w:eastAsia="微软雅黑" w:hAnsi="微软雅黑"/>
          <w:sz w:val="24"/>
          <w:szCs w:val="28"/>
        </w:rPr>
      </w:pPr>
      <w:r w:rsidRPr="00A0324E">
        <w:rPr>
          <w:rFonts w:ascii="微软雅黑" w:eastAsia="微软雅黑" w:hAnsi="微软雅黑"/>
          <w:sz w:val="24"/>
          <w:szCs w:val="28"/>
        </w:rPr>
        <w:t>实际收益情况如下所示</w:t>
      </w:r>
      <w:r w:rsidRPr="00A0324E">
        <w:rPr>
          <w:rFonts w:ascii="微软雅黑" w:eastAsia="微软雅黑" w:hAnsi="微软雅黑" w:hint="eastAsia"/>
          <w:sz w:val="24"/>
          <w:szCs w:val="28"/>
        </w:rPr>
        <w:t>：</w:t>
      </w:r>
    </w:p>
    <w:p w:rsidR="00D844EA" w:rsidRPr="00A0324E" w:rsidRDefault="00D844EA" w:rsidP="00CB1BF3">
      <w:pPr>
        <w:spacing w:line="360" w:lineRule="auto"/>
        <w:ind w:firstLineChars="200" w:firstLine="480"/>
        <w:rPr>
          <w:rFonts w:ascii="微软雅黑" w:eastAsia="微软雅黑" w:hAnsi="微软雅黑"/>
          <w:sz w:val="24"/>
          <w:szCs w:val="28"/>
        </w:rPr>
      </w:pPr>
      <w:r w:rsidRPr="00A0324E">
        <w:rPr>
          <w:rFonts w:ascii="微软雅黑" w:eastAsia="微软雅黑" w:hAnsi="微软雅黑"/>
          <w:sz w:val="24"/>
          <w:szCs w:val="28"/>
        </w:rPr>
        <w:t>A</w:t>
      </w:r>
      <w:r w:rsidR="00974AD0" w:rsidRPr="00A0324E">
        <w:rPr>
          <w:rFonts w:ascii="微软雅黑" w:eastAsia="微软雅黑" w:hAnsi="微软雅黑" w:hint="eastAsia"/>
          <w:sz w:val="24"/>
          <w:szCs w:val="28"/>
        </w:rPr>
        <w:t>款产品期</w:t>
      </w:r>
      <w:r w:rsidRPr="00A0324E">
        <w:rPr>
          <w:rFonts w:ascii="微软雅黑" w:eastAsia="微软雅黑" w:hAnsi="微软雅黑" w:hint="eastAsia"/>
          <w:sz w:val="24"/>
          <w:szCs w:val="28"/>
        </w:rPr>
        <w:t>初净值</w:t>
      </w:r>
      <w:r w:rsidR="00974AD0" w:rsidRPr="00A0324E">
        <w:rPr>
          <w:rFonts w:ascii="微软雅黑" w:eastAsia="微软雅黑" w:hAnsi="微软雅黑" w:hint="eastAsia"/>
          <w:sz w:val="24"/>
          <w:szCs w:val="28"/>
        </w:rPr>
        <w:t>为</w:t>
      </w:r>
      <w:r w:rsidRPr="00A0324E">
        <w:rPr>
          <w:rFonts w:ascii="微软雅黑" w:eastAsia="微软雅黑" w:hAnsi="微软雅黑"/>
          <w:sz w:val="24"/>
          <w:szCs w:val="28"/>
        </w:rPr>
        <w:t>1.0</w:t>
      </w:r>
      <w:r w:rsidR="00974AD0" w:rsidRPr="00A0324E">
        <w:rPr>
          <w:rFonts w:ascii="微软雅黑" w:eastAsia="微软雅黑" w:hAnsi="微软雅黑"/>
          <w:sz w:val="24"/>
          <w:szCs w:val="28"/>
        </w:rPr>
        <w:t>069</w:t>
      </w:r>
      <w:r w:rsidR="00974AD0" w:rsidRPr="00A0324E">
        <w:rPr>
          <w:rFonts w:ascii="微软雅黑" w:eastAsia="微软雅黑" w:hAnsi="微软雅黑" w:hint="eastAsia"/>
          <w:sz w:val="24"/>
          <w:szCs w:val="28"/>
        </w:rPr>
        <w:t>，期</w:t>
      </w:r>
      <w:r w:rsidRPr="00A0324E">
        <w:rPr>
          <w:rFonts w:ascii="微软雅黑" w:eastAsia="微软雅黑" w:hAnsi="微软雅黑" w:hint="eastAsia"/>
          <w:sz w:val="24"/>
          <w:szCs w:val="28"/>
        </w:rPr>
        <w:t>末净值</w:t>
      </w:r>
      <w:r w:rsidR="00974AD0" w:rsidRPr="00A0324E">
        <w:rPr>
          <w:rFonts w:ascii="微软雅黑" w:eastAsia="微软雅黑" w:hAnsi="微软雅黑" w:hint="eastAsia"/>
          <w:sz w:val="24"/>
          <w:szCs w:val="28"/>
        </w:rPr>
        <w:t>为</w:t>
      </w:r>
      <w:r w:rsidRPr="00A0324E">
        <w:rPr>
          <w:rFonts w:ascii="微软雅黑" w:eastAsia="微软雅黑" w:hAnsi="微软雅黑"/>
          <w:sz w:val="24"/>
          <w:szCs w:val="28"/>
        </w:rPr>
        <w:t>1.0</w:t>
      </w:r>
      <w:r w:rsidR="00B41A72">
        <w:rPr>
          <w:rFonts w:ascii="微软雅黑" w:eastAsia="微软雅黑" w:hAnsi="微软雅黑"/>
          <w:sz w:val="24"/>
          <w:szCs w:val="28"/>
        </w:rPr>
        <w:t>672</w:t>
      </w:r>
      <w:r w:rsidRPr="00A0324E">
        <w:rPr>
          <w:rFonts w:ascii="微软雅黑" w:eastAsia="微软雅黑" w:hAnsi="微软雅黑"/>
          <w:sz w:val="24"/>
          <w:szCs w:val="28"/>
        </w:rPr>
        <w:t>，</w:t>
      </w:r>
      <w:r w:rsidR="00974AD0" w:rsidRPr="00A0324E">
        <w:rPr>
          <w:rFonts w:ascii="微软雅黑" w:eastAsia="微软雅黑" w:hAnsi="微软雅黑" w:hint="eastAsia"/>
          <w:sz w:val="24"/>
          <w:szCs w:val="28"/>
        </w:rPr>
        <w:t>折合</w:t>
      </w:r>
      <w:r w:rsidRPr="00A0324E">
        <w:rPr>
          <w:rFonts w:ascii="微软雅黑" w:eastAsia="微软雅黑" w:hAnsi="微软雅黑" w:hint="eastAsia"/>
          <w:sz w:val="24"/>
          <w:szCs w:val="28"/>
        </w:rPr>
        <w:t>年化收益</w:t>
      </w:r>
      <w:r w:rsidR="00974AD0" w:rsidRPr="00A0324E">
        <w:rPr>
          <w:rFonts w:ascii="微软雅黑" w:eastAsia="微软雅黑" w:hAnsi="微软雅黑" w:hint="eastAsia"/>
          <w:sz w:val="24"/>
          <w:szCs w:val="28"/>
        </w:rPr>
        <w:t>率</w:t>
      </w:r>
      <w:r w:rsidRPr="00A0324E">
        <w:rPr>
          <w:rFonts w:ascii="微软雅黑" w:eastAsia="微软雅黑" w:hAnsi="微软雅黑" w:hint="eastAsia"/>
          <w:sz w:val="24"/>
          <w:szCs w:val="28"/>
        </w:rPr>
        <w:t>为</w:t>
      </w:r>
      <w:r w:rsidR="00B41A72">
        <w:rPr>
          <w:rFonts w:ascii="微软雅黑" w:eastAsia="微软雅黑" w:hAnsi="微软雅黑"/>
          <w:sz w:val="24"/>
          <w:szCs w:val="28"/>
        </w:rPr>
        <w:t>6.03</w:t>
      </w:r>
      <w:r w:rsidRPr="00A0324E">
        <w:rPr>
          <w:rFonts w:ascii="微软雅黑" w:eastAsia="微软雅黑" w:hAnsi="微软雅黑"/>
          <w:sz w:val="24"/>
          <w:szCs w:val="28"/>
        </w:rPr>
        <w:t>%</w:t>
      </w:r>
      <w:r w:rsidR="00410AD7">
        <w:rPr>
          <w:rFonts w:ascii="微软雅黑" w:eastAsia="微软雅黑" w:hAnsi="微软雅黑"/>
          <w:sz w:val="24"/>
          <w:szCs w:val="28"/>
        </w:rPr>
        <w:t>(</w:t>
      </w:r>
      <w:r w:rsidR="00410AD7">
        <w:rPr>
          <w:rFonts w:ascii="微软雅黑" w:eastAsia="微软雅黑" w:hAnsi="微软雅黑" w:hint="eastAsia"/>
          <w:sz w:val="24"/>
          <w:szCs w:val="28"/>
        </w:rPr>
        <w:t>未</w:t>
      </w:r>
      <w:r w:rsidR="00410AD7">
        <w:rPr>
          <w:rFonts w:ascii="微软雅黑" w:eastAsia="微软雅黑" w:hAnsi="微软雅黑"/>
          <w:sz w:val="24"/>
          <w:szCs w:val="28"/>
        </w:rPr>
        <w:t>扣除超额</w:t>
      </w:r>
      <w:r w:rsidR="00410AD7">
        <w:rPr>
          <w:rFonts w:ascii="微软雅黑" w:eastAsia="微软雅黑" w:hAnsi="微软雅黑" w:hint="eastAsia"/>
          <w:sz w:val="24"/>
          <w:szCs w:val="28"/>
        </w:rPr>
        <w:t>业绩</w:t>
      </w:r>
      <w:r w:rsidR="00410AD7">
        <w:rPr>
          <w:rFonts w:ascii="微软雅黑" w:eastAsia="微软雅黑" w:hAnsi="微软雅黑"/>
          <w:sz w:val="24"/>
          <w:szCs w:val="28"/>
        </w:rPr>
        <w:t>管理费)</w:t>
      </w:r>
      <w:r w:rsidRPr="00A0324E">
        <w:rPr>
          <w:rFonts w:ascii="微软雅黑" w:eastAsia="微软雅黑" w:hAnsi="微软雅黑" w:hint="eastAsia"/>
          <w:sz w:val="24"/>
          <w:szCs w:val="28"/>
        </w:rPr>
        <w:t>。</w:t>
      </w:r>
    </w:p>
    <w:p w:rsidR="004D62C0" w:rsidRDefault="00FB0C29" w:rsidP="00CB1BF3">
      <w:pPr>
        <w:spacing w:line="360" w:lineRule="auto"/>
        <w:jc w:val="center"/>
        <w:rPr>
          <w:b/>
          <w:noProof/>
          <w:sz w:val="24"/>
        </w:rPr>
      </w:pPr>
      <w:r>
        <w:rPr>
          <w:noProof/>
        </w:rPr>
        <w:lastRenderedPageBreak/>
        <w:drawing>
          <wp:inline distT="0" distB="0" distL="0" distR="0" wp14:anchorId="37C97FF6" wp14:editId="70452DB4">
            <wp:extent cx="5229225" cy="29622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AD0" w:rsidRDefault="00FB0C29" w:rsidP="00CB1BF3">
      <w:pPr>
        <w:spacing w:line="360" w:lineRule="auto"/>
        <w:jc w:val="center"/>
        <w:rPr>
          <w:b/>
          <w:noProof/>
          <w:sz w:val="24"/>
        </w:rPr>
      </w:pPr>
      <w:r>
        <w:rPr>
          <w:noProof/>
        </w:rPr>
        <w:drawing>
          <wp:inline distT="0" distB="0" distL="0" distR="0" wp14:anchorId="09A39AE7" wp14:editId="605D3339">
            <wp:extent cx="5248275" cy="33909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0D48" w:rsidRPr="00490CB5" w:rsidRDefault="00750D48" w:rsidP="00695D6B">
      <w:pPr>
        <w:pStyle w:val="1"/>
        <w:spacing w:beforeLines="100" w:before="312" w:afterLines="100" w:after="312" w:line="360" w:lineRule="auto"/>
        <w:jc w:val="center"/>
        <w:rPr>
          <w:rFonts w:ascii="微软雅黑" w:eastAsia="微软雅黑" w:hAnsi="微软雅黑"/>
          <w:color w:val="000000"/>
          <w:kern w:val="0"/>
          <w:sz w:val="28"/>
          <w:szCs w:val="24"/>
        </w:rPr>
      </w:pPr>
      <w:r w:rsidRPr="00490CB5">
        <w:rPr>
          <w:rFonts w:ascii="微软雅黑" w:eastAsia="微软雅黑" w:hAnsi="微软雅黑" w:hint="eastAsia"/>
          <w:color w:val="000000"/>
          <w:kern w:val="0"/>
          <w:sz w:val="28"/>
          <w:szCs w:val="24"/>
        </w:rPr>
        <w:t>§</w:t>
      </w:r>
      <w:r w:rsidR="00940BE1">
        <w:rPr>
          <w:rFonts w:ascii="微软雅黑" w:eastAsia="微软雅黑" w:hAnsi="微软雅黑"/>
          <w:color w:val="000000"/>
          <w:kern w:val="0"/>
          <w:sz w:val="28"/>
          <w:szCs w:val="24"/>
        </w:rPr>
        <w:t>4</w:t>
      </w:r>
      <w:r w:rsidRPr="00490CB5">
        <w:rPr>
          <w:rFonts w:ascii="微软雅黑" w:eastAsia="微软雅黑" w:hAnsi="微软雅黑"/>
          <w:color w:val="000000"/>
          <w:kern w:val="0"/>
          <w:sz w:val="28"/>
          <w:szCs w:val="24"/>
        </w:rPr>
        <w:t xml:space="preserve"> </w:t>
      </w:r>
      <w:r w:rsidRPr="00490CB5">
        <w:rPr>
          <w:rFonts w:ascii="微软雅黑" w:eastAsia="微软雅黑" w:hAnsi="微软雅黑" w:hint="eastAsia"/>
          <w:color w:val="000000"/>
          <w:kern w:val="0"/>
          <w:sz w:val="28"/>
          <w:szCs w:val="24"/>
        </w:rPr>
        <w:t>投资组合报告</w:t>
      </w:r>
    </w:p>
    <w:p w:rsidR="00973260" w:rsidRPr="00940BE1" w:rsidRDefault="00940BE1" w:rsidP="00CB1BF3">
      <w:pPr>
        <w:autoSpaceDE w:val="0"/>
        <w:autoSpaceDN w:val="0"/>
        <w:adjustRightInd w:val="0"/>
        <w:spacing w:line="360" w:lineRule="auto"/>
        <w:jc w:val="left"/>
        <w:rPr>
          <w:rFonts w:ascii="微软雅黑" w:eastAsia="微软雅黑" w:hAnsi="微软雅黑"/>
          <w:b/>
          <w:bCs/>
          <w:color w:val="000000"/>
          <w:kern w:val="0"/>
          <w:sz w:val="24"/>
          <w:szCs w:val="24"/>
        </w:rPr>
      </w:pPr>
      <w:r>
        <w:rPr>
          <w:rFonts w:ascii="微软雅黑" w:eastAsia="微软雅黑" w:hAnsi="微软雅黑"/>
          <w:b/>
          <w:bCs/>
          <w:color w:val="000000"/>
          <w:kern w:val="0"/>
          <w:sz w:val="24"/>
          <w:szCs w:val="24"/>
        </w:rPr>
        <w:t>4</w:t>
      </w:r>
      <w:r w:rsidR="00750D48" w:rsidRPr="00490CB5">
        <w:rPr>
          <w:rFonts w:ascii="微软雅黑" w:eastAsia="微软雅黑" w:hAnsi="微软雅黑"/>
          <w:b/>
          <w:bCs/>
          <w:color w:val="000000"/>
          <w:kern w:val="0"/>
          <w:sz w:val="24"/>
          <w:szCs w:val="24"/>
        </w:rPr>
        <w:t>.1</w:t>
      </w:r>
      <w:r>
        <w:rPr>
          <w:rFonts w:ascii="微软雅黑" w:eastAsia="微软雅黑" w:hAnsi="微软雅黑"/>
          <w:b/>
          <w:bCs/>
          <w:color w:val="000000"/>
          <w:kern w:val="0"/>
          <w:sz w:val="24"/>
          <w:szCs w:val="24"/>
        </w:rPr>
        <w:t xml:space="preserve">  </w:t>
      </w:r>
      <w:r w:rsidRPr="00940BE1">
        <w:rPr>
          <w:rFonts w:ascii="微软雅黑" w:eastAsia="微软雅黑" w:hAnsi="微软雅黑" w:hint="eastAsia"/>
          <w:b/>
          <w:bCs/>
          <w:color w:val="000000"/>
          <w:kern w:val="0"/>
          <w:sz w:val="24"/>
          <w:szCs w:val="24"/>
        </w:rPr>
        <w:t>持仓</w:t>
      </w:r>
      <w:r w:rsidR="00973260" w:rsidRPr="00940BE1">
        <w:rPr>
          <w:rFonts w:ascii="微软雅黑" w:eastAsia="微软雅黑" w:hAnsi="微软雅黑"/>
          <w:b/>
          <w:bCs/>
          <w:color w:val="000000"/>
          <w:kern w:val="0"/>
          <w:sz w:val="24"/>
          <w:szCs w:val="24"/>
        </w:rPr>
        <w:t>情况</w:t>
      </w:r>
    </w:p>
    <w:tbl>
      <w:tblPr>
        <w:tblW w:w="83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385"/>
        <w:gridCol w:w="1737"/>
      </w:tblGrid>
      <w:tr w:rsidR="004F0699" w:rsidRPr="00940BE1" w:rsidTr="004F0699">
        <w:trPr>
          <w:trHeight w:val="247"/>
        </w:trPr>
        <w:tc>
          <w:tcPr>
            <w:tcW w:w="3210" w:type="dxa"/>
            <w:shd w:val="clear" w:color="auto" w:fill="BFBFBF" w:themeFill="background1" w:themeFillShade="BF"/>
            <w:noWrap/>
            <w:vAlign w:val="center"/>
            <w:hideMark/>
          </w:tcPr>
          <w:p w:rsidR="00940BE1" w:rsidRPr="00940BE1" w:rsidRDefault="00940BE1" w:rsidP="00CB1BF3">
            <w:pPr>
              <w:widowControl/>
              <w:spacing w:line="360" w:lineRule="auto"/>
              <w:jc w:val="left"/>
              <w:rPr>
                <w:rFonts w:ascii="微软雅黑" w:eastAsia="微软雅黑" w:hAnsi="微软雅黑" w:cs="宋体"/>
                <w:b/>
                <w:bCs/>
                <w:color w:val="000000"/>
                <w:kern w:val="0"/>
                <w:sz w:val="24"/>
                <w:szCs w:val="24"/>
              </w:rPr>
            </w:pPr>
            <w:r w:rsidRPr="00940BE1">
              <w:rPr>
                <w:rFonts w:ascii="微软雅黑" w:eastAsia="微软雅黑" w:hAnsi="微软雅黑" w:cs="宋体" w:hint="eastAsia"/>
                <w:b/>
                <w:bCs/>
                <w:color w:val="000000"/>
                <w:kern w:val="0"/>
                <w:sz w:val="24"/>
                <w:szCs w:val="24"/>
              </w:rPr>
              <w:t>A款</w:t>
            </w:r>
          </w:p>
        </w:tc>
        <w:tc>
          <w:tcPr>
            <w:tcW w:w="3385" w:type="dxa"/>
            <w:shd w:val="clear" w:color="auto" w:fill="BFBFBF" w:themeFill="background1" w:themeFillShade="BF"/>
            <w:noWrap/>
            <w:vAlign w:val="center"/>
            <w:hideMark/>
          </w:tcPr>
          <w:p w:rsidR="00940BE1" w:rsidRPr="00940BE1" w:rsidRDefault="00940BE1" w:rsidP="00CB1BF3">
            <w:pPr>
              <w:widowControl/>
              <w:spacing w:line="360" w:lineRule="auto"/>
              <w:jc w:val="left"/>
              <w:rPr>
                <w:rFonts w:ascii="微软雅黑" w:eastAsia="微软雅黑" w:hAnsi="微软雅黑" w:cs="宋体"/>
                <w:b/>
                <w:bCs/>
                <w:color w:val="000000"/>
                <w:kern w:val="0"/>
                <w:sz w:val="24"/>
                <w:szCs w:val="24"/>
              </w:rPr>
            </w:pPr>
            <w:r w:rsidRPr="00940BE1">
              <w:rPr>
                <w:rFonts w:ascii="微软雅黑" w:eastAsia="微软雅黑" w:hAnsi="微软雅黑" w:cs="宋体" w:hint="eastAsia"/>
                <w:b/>
                <w:bCs/>
                <w:color w:val="000000"/>
                <w:kern w:val="0"/>
                <w:sz w:val="24"/>
                <w:szCs w:val="24"/>
              </w:rPr>
              <w:t>金额</w:t>
            </w:r>
          </w:p>
        </w:tc>
        <w:tc>
          <w:tcPr>
            <w:tcW w:w="1737" w:type="dxa"/>
            <w:shd w:val="clear" w:color="auto" w:fill="BFBFBF" w:themeFill="background1" w:themeFillShade="BF"/>
            <w:noWrap/>
            <w:vAlign w:val="center"/>
            <w:hideMark/>
          </w:tcPr>
          <w:p w:rsidR="00940BE1" w:rsidRPr="00940BE1" w:rsidRDefault="00940BE1" w:rsidP="00CB1BF3">
            <w:pPr>
              <w:widowControl/>
              <w:spacing w:line="360" w:lineRule="auto"/>
              <w:jc w:val="left"/>
              <w:rPr>
                <w:rFonts w:ascii="微软雅黑" w:eastAsia="微软雅黑" w:hAnsi="微软雅黑" w:cs="宋体"/>
                <w:b/>
                <w:bCs/>
                <w:color w:val="000000"/>
                <w:kern w:val="0"/>
                <w:sz w:val="24"/>
                <w:szCs w:val="24"/>
              </w:rPr>
            </w:pPr>
            <w:r w:rsidRPr="00940BE1">
              <w:rPr>
                <w:rFonts w:ascii="微软雅黑" w:eastAsia="微软雅黑" w:hAnsi="微软雅黑" w:cs="宋体" w:hint="eastAsia"/>
                <w:b/>
                <w:bCs/>
                <w:color w:val="000000"/>
                <w:kern w:val="0"/>
                <w:sz w:val="24"/>
                <w:szCs w:val="24"/>
              </w:rPr>
              <w:t>占比</w:t>
            </w:r>
          </w:p>
        </w:tc>
      </w:tr>
      <w:tr w:rsidR="00014D49" w:rsidRPr="00940BE1" w:rsidTr="001C2DE7">
        <w:trPr>
          <w:trHeight w:val="260"/>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债券</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40,000,000.00</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1.83%</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lastRenderedPageBreak/>
              <w:t>权益类资产</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80,397,037.49</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3.68%</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定向增发</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26,100,000.00</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1.19%</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信贷资产流转</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1,248,764,649.32</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57.17%</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产业基金</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270,000,000.00</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12.36%</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货币市场工具</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518,500,000.00</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23.74%</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存款</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416,458.64</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0.02%</w:t>
            </w:r>
          </w:p>
        </w:tc>
      </w:tr>
      <w:tr w:rsidR="00014D49" w:rsidRPr="00940BE1" w:rsidTr="001C2DE7">
        <w:trPr>
          <w:trHeight w:val="273"/>
        </w:trPr>
        <w:tc>
          <w:tcPr>
            <w:tcW w:w="3210"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合计</w:t>
            </w:r>
          </w:p>
        </w:tc>
        <w:tc>
          <w:tcPr>
            <w:tcW w:w="3385"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2,184,178,145.45</w:t>
            </w:r>
          </w:p>
        </w:tc>
        <w:tc>
          <w:tcPr>
            <w:tcW w:w="1737" w:type="dxa"/>
            <w:shd w:val="clear" w:color="auto" w:fill="auto"/>
            <w:noWrap/>
            <w:hideMark/>
          </w:tcPr>
          <w:p w:rsidR="00014D49" w:rsidRPr="00014D49" w:rsidRDefault="00014D49" w:rsidP="00014D49">
            <w:pPr>
              <w:widowControl/>
              <w:spacing w:line="360" w:lineRule="auto"/>
              <w:jc w:val="left"/>
              <w:rPr>
                <w:rFonts w:ascii="微软雅黑" w:eastAsia="微软雅黑" w:hAnsi="微软雅黑" w:cs="宋体"/>
                <w:color w:val="000000"/>
                <w:kern w:val="0"/>
                <w:sz w:val="24"/>
                <w:szCs w:val="24"/>
              </w:rPr>
            </w:pPr>
            <w:r w:rsidRPr="00014D49">
              <w:rPr>
                <w:rFonts w:ascii="微软雅黑" w:eastAsia="微软雅黑" w:hAnsi="微软雅黑" w:cs="宋体" w:hint="eastAsia"/>
                <w:color w:val="000000"/>
                <w:kern w:val="0"/>
                <w:sz w:val="24"/>
                <w:szCs w:val="24"/>
              </w:rPr>
              <w:t>100.00%</w:t>
            </w:r>
          </w:p>
        </w:tc>
      </w:tr>
    </w:tbl>
    <w:p w:rsidR="004D62C0" w:rsidRDefault="00045F64" w:rsidP="00CB1BF3">
      <w:pPr>
        <w:autoSpaceDE w:val="0"/>
        <w:autoSpaceDN w:val="0"/>
        <w:adjustRightInd w:val="0"/>
        <w:spacing w:line="360" w:lineRule="auto"/>
        <w:jc w:val="left"/>
        <w:rPr>
          <w:rFonts w:ascii="宋体" w:hAnsi="宋体"/>
          <w:bCs/>
          <w:color w:val="000000"/>
          <w:kern w:val="0"/>
          <w:sz w:val="24"/>
          <w:szCs w:val="24"/>
        </w:rPr>
      </w:pPr>
      <w:r>
        <w:rPr>
          <w:noProof/>
        </w:rPr>
        <w:drawing>
          <wp:inline distT="0" distB="0" distL="0" distR="0" wp14:anchorId="0A94080A" wp14:editId="6C053089">
            <wp:extent cx="5324475" cy="306705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0BE1" w:rsidRDefault="00940BE1" w:rsidP="00CB1BF3">
      <w:pPr>
        <w:autoSpaceDE w:val="0"/>
        <w:autoSpaceDN w:val="0"/>
        <w:adjustRightInd w:val="0"/>
        <w:spacing w:line="360" w:lineRule="auto"/>
        <w:jc w:val="left"/>
        <w:rPr>
          <w:rFonts w:ascii="宋体" w:hAnsi="宋体"/>
          <w:bCs/>
          <w:color w:val="000000"/>
          <w:kern w:val="0"/>
          <w:sz w:val="24"/>
          <w:szCs w:val="24"/>
        </w:rPr>
      </w:pPr>
    </w:p>
    <w:p w:rsidR="00974AD0" w:rsidRPr="00571097" w:rsidRDefault="00940BE1" w:rsidP="00CB1BF3">
      <w:pPr>
        <w:autoSpaceDE w:val="0"/>
        <w:autoSpaceDN w:val="0"/>
        <w:adjustRightInd w:val="0"/>
        <w:spacing w:line="360" w:lineRule="auto"/>
        <w:jc w:val="left"/>
        <w:rPr>
          <w:rFonts w:ascii="微软雅黑" w:eastAsia="微软雅黑" w:hAnsi="微软雅黑"/>
          <w:b/>
          <w:bCs/>
          <w:color w:val="000000"/>
          <w:kern w:val="0"/>
          <w:sz w:val="24"/>
          <w:szCs w:val="24"/>
        </w:rPr>
      </w:pPr>
      <w:r>
        <w:rPr>
          <w:rFonts w:ascii="微软雅黑" w:eastAsia="微软雅黑" w:hAnsi="微软雅黑"/>
          <w:b/>
          <w:bCs/>
          <w:color w:val="000000"/>
          <w:kern w:val="0"/>
          <w:sz w:val="24"/>
          <w:szCs w:val="24"/>
        </w:rPr>
        <w:t>4</w:t>
      </w:r>
      <w:r w:rsidRPr="00490CB5">
        <w:rPr>
          <w:rFonts w:ascii="微软雅黑" w:eastAsia="微软雅黑" w:hAnsi="微软雅黑"/>
          <w:b/>
          <w:bCs/>
          <w:color w:val="000000"/>
          <w:kern w:val="0"/>
          <w:sz w:val="24"/>
          <w:szCs w:val="24"/>
        </w:rPr>
        <w:t>.</w:t>
      </w:r>
      <w:r>
        <w:rPr>
          <w:rFonts w:ascii="微软雅黑" w:eastAsia="微软雅黑" w:hAnsi="微软雅黑"/>
          <w:b/>
          <w:bCs/>
          <w:color w:val="000000"/>
          <w:kern w:val="0"/>
          <w:sz w:val="24"/>
          <w:szCs w:val="24"/>
        </w:rPr>
        <w:t xml:space="preserve">2  </w:t>
      </w:r>
      <w:r w:rsidR="00CD2923" w:rsidRPr="00940BE1">
        <w:rPr>
          <w:rFonts w:ascii="微软雅黑" w:eastAsia="微软雅黑" w:hAnsi="微软雅黑" w:hint="eastAsia"/>
          <w:b/>
          <w:bCs/>
          <w:color w:val="000000"/>
          <w:kern w:val="0"/>
          <w:sz w:val="24"/>
          <w:szCs w:val="24"/>
        </w:rPr>
        <w:t>前十大</w:t>
      </w:r>
      <w:r w:rsidR="00CD2923" w:rsidRPr="00940BE1">
        <w:rPr>
          <w:rFonts w:ascii="微软雅黑" w:eastAsia="微软雅黑" w:hAnsi="微软雅黑"/>
          <w:b/>
          <w:bCs/>
          <w:color w:val="000000"/>
          <w:kern w:val="0"/>
          <w:sz w:val="24"/>
          <w:szCs w:val="24"/>
        </w:rPr>
        <w:t>资产构成</w:t>
      </w:r>
    </w:p>
    <w:tbl>
      <w:tblPr>
        <w:tblW w:w="9086" w:type="dxa"/>
        <w:tblLook w:val="04A0" w:firstRow="1" w:lastRow="0" w:firstColumn="1" w:lastColumn="0" w:noHBand="0" w:noVBand="1"/>
      </w:tblPr>
      <w:tblGrid>
        <w:gridCol w:w="6238"/>
        <w:gridCol w:w="1938"/>
        <w:gridCol w:w="910"/>
      </w:tblGrid>
      <w:tr w:rsidR="00974AD0" w:rsidRPr="00571097" w:rsidTr="00014D49">
        <w:trPr>
          <w:trHeight w:val="285"/>
        </w:trPr>
        <w:tc>
          <w:tcPr>
            <w:tcW w:w="62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74AD0" w:rsidRPr="00571097" w:rsidRDefault="00974AD0" w:rsidP="00CB1BF3">
            <w:pPr>
              <w:widowControl/>
              <w:spacing w:line="360" w:lineRule="auto"/>
              <w:jc w:val="left"/>
              <w:rPr>
                <w:rFonts w:ascii="微软雅黑" w:eastAsia="微软雅黑" w:hAnsi="微软雅黑" w:cs="宋体"/>
                <w:color w:val="000000"/>
                <w:kern w:val="0"/>
                <w:sz w:val="24"/>
                <w:szCs w:val="24"/>
              </w:rPr>
            </w:pPr>
            <w:r w:rsidRPr="00571097">
              <w:rPr>
                <w:rFonts w:ascii="微软雅黑" w:eastAsia="微软雅黑" w:hAnsi="微软雅黑" w:cs="宋体" w:hint="eastAsia"/>
                <w:color w:val="000000"/>
                <w:kern w:val="0"/>
                <w:sz w:val="24"/>
                <w:szCs w:val="24"/>
              </w:rPr>
              <w:t>资产名称</w:t>
            </w:r>
          </w:p>
        </w:tc>
        <w:tc>
          <w:tcPr>
            <w:tcW w:w="19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74AD0" w:rsidRPr="00571097" w:rsidRDefault="00974AD0" w:rsidP="00CB1BF3">
            <w:pPr>
              <w:widowControl/>
              <w:spacing w:line="360" w:lineRule="auto"/>
              <w:jc w:val="left"/>
              <w:rPr>
                <w:rFonts w:ascii="微软雅黑" w:eastAsia="微软雅黑" w:hAnsi="微软雅黑" w:cs="宋体"/>
                <w:color w:val="000000"/>
                <w:kern w:val="0"/>
                <w:sz w:val="24"/>
                <w:szCs w:val="24"/>
              </w:rPr>
            </w:pPr>
            <w:r w:rsidRPr="00571097">
              <w:rPr>
                <w:rFonts w:ascii="微软雅黑" w:eastAsia="微软雅黑" w:hAnsi="微软雅黑" w:cs="宋体" w:hint="eastAsia"/>
                <w:color w:val="000000"/>
                <w:kern w:val="0"/>
                <w:sz w:val="24"/>
                <w:szCs w:val="24"/>
              </w:rPr>
              <w:t>资产份额</w:t>
            </w:r>
          </w:p>
        </w:tc>
        <w:tc>
          <w:tcPr>
            <w:tcW w:w="9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74AD0" w:rsidRPr="00571097" w:rsidRDefault="00974AD0" w:rsidP="00CB1BF3">
            <w:pPr>
              <w:widowControl/>
              <w:spacing w:line="360" w:lineRule="auto"/>
              <w:jc w:val="left"/>
              <w:rPr>
                <w:rFonts w:ascii="微软雅黑" w:eastAsia="微软雅黑" w:hAnsi="微软雅黑" w:cs="宋体"/>
                <w:color w:val="000000"/>
                <w:kern w:val="0"/>
                <w:sz w:val="24"/>
                <w:szCs w:val="24"/>
              </w:rPr>
            </w:pPr>
            <w:r w:rsidRPr="00571097">
              <w:rPr>
                <w:rFonts w:ascii="微软雅黑" w:eastAsia="微软雅黑" w:hAnsi="微软雅黑" w:cs="宋体" w:hint="eastAsia"/>
                <w:color w:val="000000"/>
                <w:kern w:val="0"/>
                <w:sz w:val="24"/>
                <w:szCs w:val="24"/>
              </w:rPr>
              <w:t>占比</w:t>
            </w:r>
          </w:p>
        </w:tc>
      </w:tr>
      <w:tr w:rsidR="00014D49" w:rsidRPr="00571097" w:rsidTr="00014D49">
        <w:trPr>
          <w:trHeight w:val="70"/>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16焦作中旅银行资产包0012</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848,764,649.32</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38.9%</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16杭州联合农商行资产包0001</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400,000,000.00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18.3%</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质押式逆回购</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313,500,000.00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14.4%</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成都聚兴瑞隆商务服务合伙企业（有限合伙）</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270,000,000.00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12.4%</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lastRenderedPageBreak/>
              <w:t>存款</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174,000,000.00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8.0%</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广发证券平广3号定向资产管理计划</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80,397,037.49</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3.7%</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16农发08</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40,000,000.00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1.8%</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天津信托-弘盈4号集合资金信托计划</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26,100,000.00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1.2%</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银华惠增利货币市场基金</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21,000,000.00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1.0%</w:t>
            </w:r>
          </w:p>
        </w:tc>
      </w:tr>
      <w:tr w:rsidR="00014D49" w:rsidRPr="00571097" w:rsidTr="00014D49">
        <w:trPr>
          <w:trHeight w:val="315"/>
        </w:trPr>
        <w:tc>
          <w:tcPr>
            <w:tcW w:w="6238" w:type="dxa"/>
            <w:tcBorders>
              <w:top w:val="nil"/>
              <w:left w:val="single" w:sz="4" w:space="0" w:color="auto"/>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华泰柏瑞交易型货币市场基金</w:t>
            </w:r>
          </w:p>
        </w:tc>
        <w:tc>
          <w:tcPr>
            <w:tcW w:w="1938"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10,000,000.00</w:t>
            </w:r>
          </w:p>
        </w:tc>
        <w:tc>
          <w:tcPr>
            <w:tcW w:w="910" w:type="dxa"/>
            <w:tcBorders>
              <w:top w:val="nil"/>
              <w:left w:val="nil"/>
              <w:bottom w:val="single" w:sz="4" w:space="0" w:color="auto"/>
              <w:right w:val="single" w:sz="4" w:space="0" w:color="auto"/>
            </w:tcBorders>
            <w:shd w:val="clear" w:color="auto" w:fill="auto"/>
            <w:noWrap/>
            <w:hideMark/>
          </w:tcPr>
          <w:p w:rsidR="00014D49" w:rsidRPr="00014D49" w:rsidRDefault="00014D49" w:rsidP="00014D49">
            <w:pPr>
              <w:rPr>
                <w:rFonts w:ascii="微软雅黑" w:eastAsia="微软雅黑" w:hAnsi="微软雅黑"/>
                <w:sz w:val="24"/>
              </w:rPr>
            </w:pPr>
            <w:r w:rsidRPr="00014D49">
              <w:rPr>
                <w:rFonts w:ascii="微软雅黑" w:eastAsia="微软雅黑" w:hAnsi="微软雅黑" w:hint="eastAsia"/>
                <w:sz w:val="24"/>
              </w:rPr>
              <w:t>0.5%</w:t>
            </w:r>
          </w:p>
        </w:tc>
      </w:tr>
    </w:tbl>
    <w:p w:rsidR="00973260" w:rsidRPr="00571097" w:rsidRDefault="00571097" w:rsidP="00CB1BF3">
      <w:pPr>
        <w:autoSpaceDE w:val="0"/>
        <w:autoSpaceDN w:val="0"/>
        <w:adjustRightInd w:val="0"/>
        <w:spacing w:line="360" w:lineRule="auto"/>
        <w:jc w:val="left"/>
        <w:rPr>
          <w:rFonts w:ascii="微软雅黑" w:eastAsia="微软雅黑" w:hAnsi="微软雅黑"/>
          <w:b/>
          <w:bCs/>
          <w:color w:val="000000"/>
          <w:kern w:val="0"/>
          <w:sz w:val="24"/>
          <w:szCs w:val="24"/>
        </w:rPr>
      </w:pPr>
      <w:r>
        <w:rPr>
          <w:rFonts w:ascii="微软雅黑" w:eastAsia="微软雅黑" w:hAnsi="微软雅黑"/>
          <w:b/>
          <w:bCs/>
          <w:color w:val="000000"/>
          <w:kern w:val="0"/>
          <w:sz w:val="24"/>
          <w:szCs w:val="24"/>
        </w:rPr>
        <w:t>4.3</w:t>
      </w:r>
      <w:r w:rsidR="005C0848" w:rsidRPr="00571097">
        <w:rPr>
          <w:rFonts w:ascii="微软雅黑" w:eastAsia="微软雅黑" w:hAnsi="微软雅黑"/>
          <w:b/>
          <w:bCs/>
          <w:color w:val="000000"/>
          <w:kern w:val="0"/>
          <w:sz w:val="24"/>
          <w:szCs w:val="24"/>
        </w:rPr>
        <w:t xml:space="preserve"> </w:t>
      </w:r>
      <w:r w:rsidR="004F0699">
        <w:rPr>
          <w:rFonts w:ascii="微软雅黑" w:eastAsia="微软雅黑" w:hAnsi="微软雅黑"/>
          <w:b/>
          <w:bCs/>
          <w:color w:val="000000"/>
          <w:kern w:val="0"/>
          <w:sz w:val="24"/>
          <w:szCs w:val="24"/>
        </w:rPr>
        <w:t xml:space="preserve"> </w:t>
      </w:r>
      <w:r w:rsidR="005C0848" w:rsidRPr="00571097">
        <w:rPr>
          <w:rFonts w:ascii="微软雅黑" w:eastAsia="微软雅黑" w:hAnsi="微软雅黑" w:hint="eastAsia"/>
          <w:b/>
          <w:bCs/>
          <w:color w:val="000000"/>
          <w:kern w:val="0"/>
          <w:sz w:val="24"/>
          <w:szCs w:val="24"/>
        </w:rPr>
        <w:t>养老新兴投资指数配置及表现</w:t>
      </w:r>
    </w:p>
    <w:p w:rsidR="00A0324E" w:rsidRDefault="005C0848" w:rsidP="00CB1BF3">
      <w:pPr>
        <w:spacing w:line="360" w:lineRule="auto"/>
        <w:ind w:firstLineChars="200" w:firstLine="480"/>
        <w:rPr>
          <w:rFonts w:ascii="微软雅黑" w:eastAsia="微软雅黑" w:hAnsi="微软雅黑"/>
          <w:color w:val="000000"/>
          <w:sz w:val="24"/>
          <w:szCs w:val="24"/>
        </w:rPr>
      </w:pPr>
      <w:r w:rsidRPr="00571097">
        <w:rPr>
          <w:rFonts w:ascii="微软雅黑" w:eastAsia="微软雅黑" w:hAnsi="微软雅黑" w:hint="eastAsia"/>
          <w:color w:val="000000"/>
          <w:sz w:val="24"/>
          <w:szCs w:val="24"/>
        </w:rPr>
        <w:t>养老新兴</w:t>
      </w:r>
      <w:r w:rsidR="00410AD7">
        <w:rPr>
          <w:rFonts w:ascii="微软雅黑" w:eastAsia="微软雅黑" w:hAnsi="微软雅黑" w:hint="eastAsia"/>
          <w:color w:val="000000"/>
          <w:sz w:val="24"/>
          <w:szCs w:val="24"/>
        </w:rPr>
        <w:t>投资</w:t>
      </w:r>
      <w:r w:rsidRPr="00571097">
        <w:rPr>
          <w:rFonts w:ascii="微软雅黑" w:eastAsia="微软雅黑" w:hAnsi="微软雅黑" w:hint="eastAsia"/>
          <w:color w:val="000000"/>
          <w:sz w:val="24"/>
          <w:szCs w:val="24"/>
        </w:rPr>
        <w:t>指数</w:t>
      </w:r>
      <w:r w:rsidR="00410AD7">
        <w:rPr>
          <w:rFonts w:ascii="微软雅黑" w:eastAsia="微软雅黑" w:hAnsi="微软雅黑" w:hint="eastAsia"/>
          <w:color w:val="000000"/>
          <w:sz w:val="24"/>
          <w:szCs w:val="24"/>
        </w:rPr>
        <w:t>行业及</w:t>
      </w:r>
      <w:r w:rsidR="00410AD7">
        <w:rPr>
          <w:rFonts w:ascii="微软雅黑" w:eastAsia="微软雅黑" w:hAnsi="微软雅黑"/>
          <w:color w:val="000000"/>
          <w:sz w:val="24"/>
          <w:szCs w:val="24"/>
        </w:rPr>
        <w:t>标的配置如下</w:t>
      </w:r>
      <w:r w:rsidR="00410AD7">
        <w:rPr>
          <w:rFonts w:ascii="微软雅黑" w:eastAsia="微软雅黑" w:hAnsi="微软雅黑" w:hint="eastAsia"/>
          <w:color w:val="000000"/>
          <w:sz w:val="24"/>
          <w:szCs w:val="24"/>
        </w:rPr>
        <w:t>：</w:t>
      </w:r>
    </w:p>
    <w:p w:rsidR="005C0848" w:rsidRPr="00571097" w:rsidRDefault="005C0848" w:rsidP="00CB1BF3">
      <w:pPr>
        <w:spacing w:line="360" w:lineRule="auto"/>
        <w:ind w:firstLineChars="200" w:firstLine="480"/>
        <w:rPr>
          <w:rFonts w:ascii="微软雅黑" w:eastAsia="微软雅黑" w:hAnsi="微软雅黑"/>
          <w:color w:val="000000"/>
          <w:sz w:val="24"/>
          <w:szCs w:val="24"/>
        </w:rPr>
      </w:pPr>
      <w:r w:rsidRPr="00571097">
        <w:rPr>
          <w:rFonts w:ascii="微软雅黑" w:eastAsia="微软雅黑" w:hAnsi="微软雅黑" w:hint="eastAsia"/>
          <w:color w:val="000000"/>
          <w:sz w:val="24"/>
          <w:szCs w:val="24"/>
        </w:rPr>
        <w:t>1）医药板块的化学制药、中药行业，共8只股票；</w:t>
      </w:r>
    </w:p>
    <w:p w:rsidR="005C0848" w:rsidRPr="00571097" w:rsidRDefault="005C0848" w:rsidP="00CB1BF3">
      <w:pPr>
        <w:spacing w:line="360" w:lineRule="auto"/>
        <w:ind w:firstLineChars="200" w:firstLine="480"/>
        <w:rPr>
          <w:rFonts w:ascii="微软雅黑" w:eastAsia="微软雅黑" w:hAnsi="微软雅黑"/>
          <w:color w:val="000000"/>
          <w:sz w:val="24"/>
          <w:szCs w:val="24"/>
        </w:rPr>
      </w:pPr>
      <w:r w:rsidRPr="00571097">
        <w:rPr>
          <w:rFonts w:ascii="微软雅黑" w:eastAsia="微软雅黑" w:hAnsi="微软雅黑" w:hint="eastAsia"/>
          <w:color w:val="000000"/>
          <w:sz w:val="24"/>
          <w:szCs w:val="24"/>
        </w:rPr>
        <w:t>2）医疗板块：生物制品、医疗服务、医疗器械行业，共12只股票；</w:t>
      </w:r>
    </w:p>
    <w:p w:rsidR="005C0848" w:rsidRDefault="005C0848" w:rsidP="00CB1BF3">
      <w:pPr>
        <w:spacing w:line="360" w:lineRule="auto"/>
        <w:ind w:firstLineChars="200" w:firstLine="480"/>
        <w:rPr>
          <w:rFonts w:ascii="微软雅黑" w:eastAsia="微软雅黑" w:hAnsi="微软雅黑"/>
          <w:color w:val="000000"/>
          <w:sz w:val="24"/>
          <w:szCs w:val="24"/>
        </w:rPr>
      </w:pPr>
      <w:r w:rsidRPr="00571097">
        <w:rPr>
          <w:rFonts w:ascii="微软雅黑" w:eastAsia="微软雅黑" w:hAnsi="微软雅黑" w:hint="eastAsia"/>
          <w:color w:val="000000"/>
          <w:sz w:val="24"/>
          <w:szCs w:val="24"/>
        </w:rPr>
        <w:t>3）养老板块：最新的中报/年报（以最新一期为准）中主营业务收入与保健、健康险、康复、护理、养生、养老地产、其他养老相关的个股，共20只股票。</w:t>
      </w:r>
    </w:p>
    <w:p w:rsidR="00014D49" w:rsidRDefault="00FA4AEB" w:rsidP="00CB1BF3">
      <w:pPr>
        <w:spacing w:line="360" w:lineRule="auto"/>
        <w:ind w:firstLineChars="200" w:firstLine="480"/>
        <w:rPr>
          <w:rFonts w:ascii="微软雅黑" w:eastAsia="微软雅黑" w:hAnsi="微软雅黑"/>
          <w:color w:val="000000"/>
          <w:sz w:val="24"/>
          <w:szCs w:val="24"/>
        </w:rPr>
      </w:pPr>
      <w:r w:rsidRPr="00571097">
        <w:rPr>
          <w:rFonts w:ascii="微软雅黑" w:eastAsia="微软雅黑" w:hAnsi="微软雅黑" w:hint="eastAsia"/>
          <w:color w:val="000000"/>
          <w:sz w:val="24"/>
          <w:szCs w:val="24"/>
        </w:rPr>
        <w:t>截至</w:t>
      </w:r>
      <w:r w:rsidR="00DB787B">
        <w:rPr>
          <w:rFonts w:ascii="微软雅黑" w:eastAsia="微软雅黑" w:hAnsi="微软雅黑" w:hint="eastAsia"/>
          <w:color w:val="000000"/>
          <w:sz w:val="24"/>
          <w:szCs w:val="24"/>
        </w:rPr>
        <w:t>今年年末</w:t>
      </w:r>
      <w:r w:rsidRPr="00571097">
        <w:rPr>
          <w:rFonts w:ascii="微软雅黑" w:eastAsia="微软雅黑" w:hAnsi="微软雅黑" w:hint="eastAsia"/>
          <w:color w:val="000000"/>
          <w:sz w:val="24"/>
          <w:szCs w:val="24"/>
        </w:rPr>
        <w:t>，</w:t>
      </w:r>
      <w:r w:rsidR="00410AD7">
        <w:rPr>
          <w:rFonts w:ascii="微软雅黑" w:eastAsia="微软雅黑" w:hAnsi="微软雅黑" w:hint="eastAsia"/>
          <w:color w:val="000000"/>
          <w:sz w:val="24"/>
          <w:szCs w:val="24"/>
        </w:rPr>
        <w:t>养老</w:t>
      </w:r>
      <w:r w:rsidR="00410AD7">
        <w:rPr>
          <w:rFonts w:ascii="微软雅黑" w:eastAsia="微软雅黑" w:hAnsi="微软雅黑"/>
          <w:color w:val="000000"/>
          <w:sz w:val="24"/>
          <w:szCs w:val="24"/>
        </w:rPr>
        <w:t>新型投资</w:t>
      </w:r>
      <w:r>
        <w:rPr>
          <w:rFonts w:ascii="微软雅黑" w:eastAsia="微软雅黑" w:hAnsi="微软雅黑" w:hint="eastAsia"/>
          <w:color w:val="000000"/>
          <w:sz w:val="24"/>
          <w:szCs w:val="24"/>
        </w:rPr>
        <w:t>指数</w:t>
      </w:r>
      <w:r w:rsidR="00410AD7">
        <w:rPr>
          <w:rFonts w:ascii="微软雅黑" w:eastAsia="微软雅黑" w:hAnsi="微软雅黑" w:hint="eastAsia"/>
          <w:color w:val="000000"/>
          <w:sz w:val="24"/>
          <w:szCs w:val="24"/>
        </w:rPr>
        <w:t>净值</w:t>
      </w:r>
      <w:r w:rsidR="00410AD7">
        <w:rPr>
          <w:rFonts w:ascii="微软雅黑" w:eastAsia="微软雅黑" w:hAnsi="微软雅黑"/>
          <w:color w:val="000000"/>
          <w:sz w:val="24"/>
          <w:szCs w:val="24"/>
        </w:rPr>
        <w:t>为</w:t>
      </w:r>
      <w:r w:rsidR="00302651">
        <w:rPr>
          <w:rFonts w:ascii="微软雅黑" w:eastAsia="微软雅黑" w:hAnsi="微软雅黑" w:hint="eastAsia"/>
          <w:color w:val="000000"/>
          <w:sz w:val="24"/>
          <w:szCs w:val="24"/>
        </w:rPr>
        <w:t>1.</w:t>
      </w:r>
      <w:r w:rsidR="00DB787B">
        <w:rPr>
          <w:rFonts w:ascii="微软雅黑" w:eastAsia="微软雅黑" w:hAnsi="微软雅黑"/>
          <w:color w:val="000000"/>
          <w:sz w:val="24"/>
          <w:szCs w:val="24"/>
        </w:rPr>
        <w:t>0397</w:t>
      </w:r>
      <w:r w:rsidR="00410AD7">
        <w:rPr>
          <w:rFonts w:ascii="微软雅黑" w:eastAsia="微软雅黑" w:hAnsi="微软雅黑"/>
          <w:color w:val="000000"/>
          <w:sz w:val="24"/>
          <w:szCs w:val="24"/>
        </w:rPr>
        <w:t>，今年以来</w:t>
      </w:r>
      <w:r w:rsidR="00410AD7">
        <w:rPr>
          <w:rFonts w:ascii="微软雅黑" w:eastAsia="微软雅黑" w:hAnsi="微软雅黑" w:hint="eastAsia"/>
          <w:color w:val="000000"/>
          <w:sz w:val="24"/>
          <w:szCs w:val="24"/>
        </w:rPr>
        <w:t>收益</w:t>
      </w:r>
      <w:r>
        <w:rPr>
          <w:rFonts w:ascii="微软雅黑" w:eastAsia="微软雅黑" w:hAnsi="微软雅黑" w:hint="eastAsia"/>
          <w:color w:val="000000"/>
          <w:sz w:val="24"/>
          <w:szCs w:val="24"/>
        </w:rPr>
        <w:t>率为</w:t>
      </w:r>
      <w:r w:rsidR="00DB787B">
        <w:rPr>
          <w:rFonts w:ascii="微软雅黑" w:eastAsia="微软雅黑" w:hAnsi="微软雅黑"/>
          <w:color w:val="000000"/>
          <w:sz w:val="24"/>
          <w:szCs w:val="24"/>
        </w:rPr>
        <w:t>3.97</w:t>
      </w:r>
      <w:r>
        <w:rPr>
          <w:rFonts w:ascii="微软雅黑" w:eastAsia="微软雅黑" w:hAnsi="微软雅黑"/>
          <w:color w:val="000000"/>
          <w:sz w:val="24"/>
          <w:szCs w:val="24"/>
        </w:rPr>
        <w:t>%</w:t>
      </w:r>
      <w:r>
        <w:rPr>
          <w:rFonts w:ascii="微软雅黑" w:eastAsia="微软雅黑" w:hAnsi="微软雅黑" w:hint="eastAsia"/>
          <w:color w:val="000000"/>
          <w:sz w:val="24"/>
          <w:szCs w:val="24"/>
        </w:rPr>
        <w:t>。</w:t>
      </w:r>
      <w:r w:rsidR="00A0324E">
        <w:rPr>
          <w:rFonts w:ascii="微软雅黑" w:eastAsia="微软雅黑" w:hAnsi="微软雅黑"/>
          <w:color w:val="000000"/>
          <w:sz w:val="24"/>
          <w:szCs w:val="24"/>
        </w:rPr>
        <w:t>前十大</w:t>
      </w:r>
      <w:r w:rsidR="00A0324E">
        <w:rPr>
          <w:rFonts w:ascii="微软雅黑" w:eastAsia="微软雅黑" w:hAnsi="微软雅黑" w:hint="eastAsia"/>
          <w:color w:val="000000"/>
          <w:sz w:val="24"/>
          <w:szCs w:val="24"/>
        </w:rPr>
        <w:t>股票</w:t>
      </w:r>
      <w:r w:rsidR="00A0324E">
        <w:rPr>
          <w:rFonts w:ascii="微软雅黑" w:eastAsia="微软雅黑" w:hAnsi="微软雅黑"/>
          <w:color w:val="000000"/>
          <w:sz w:val="24"/>
          <w:szCs w:val="24"/>
        </w:rPr>
        <w:t>为：</w:t>
      </w:r>
    </w:p>
    <w:tbl>
      <w:tblPr>
        <w:tblStyle w:val="af7"/>
        <w:tblW w:w="0" w:type="auto"/>
        <w:tblLook w:val="04A0" w:firstRow="1" w:lastRow="0" w:firstColumn="1" w:lastColumn="0" w:noHBand="0" w:noVBand="1"/>
      </w:tblPr>
      <w:tblGrid>
        <w:gridCol w:w="1668"/>
        <w:gridCol w:w="1701"/>
        <w:gridCol w:w="1559"/>
        <w:gridCol w:w="1843"/>
        <w:gridCol w:w="1559"/>
      </w:tblGrid>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股票代码</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股票名称</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数量(股)</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公允价值(元)</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占比(%)</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600048</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保利地产</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271600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10.93</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2.90%</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600332</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白云山</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133485</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30.18</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3.94%</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601155</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新城控股</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129500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26.81</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3.39%</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300347</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泰格医药</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103600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32.53</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3.29%</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000503</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海虹控股</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82400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40.67</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3.28%</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300015</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爱尔眼科</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114363</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23.65</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2.64%</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600060</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海信电器</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230700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15.65</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3.53%</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lastRenderedPageBreak/>
              <w:t>600380</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健康元</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308400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10.89</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3.28%</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000661</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长春高新</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18700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143.39</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2.62%</w:t>
            </w:r>
          </w:p>
        </w:tc>
      </w:tr>
      <w:tr w:rsidR="008B008B" w:rsidRPr="008B008B" w:rsidTr="008B008B">
        <w:trPr>
          <w:trHeight w:val="270"/>
        </w:trPr>
        <w:tc>
          <w:tcPr>
            <w:tcW w:w="1668"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600518</w:t>
            </w:r>
          </w:p>
        </w:tc>
        <w:tc>
          <w:tcPr>
            <w:tcW w:w="1701"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康美药业</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152700</w:t>
            </w:r>
          </w:p>
        </w:tc>
        <w:tc>
          <w:tcPr>
            <w:tcW w:w="1843"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20.24</w:t>
            </w:r>
          </w:p>
        </w:tc>
        <w:tc>
          <w:tcPr>
            <w:tcW w:w="1559" w:type="dxa"/>
            <w:noWrap/>
            <w:hideMark/>
          </w:tcPr>
          <w:p w:rsidR="008B008B" w:rsidRPr="008B008B" w:rsidRDefault="008B008B" w:rsidP="008B008B">
            <w:pPr>
              <w:spacing w:line="360" w:lineRule="auto"/>
              <w:ind w:firstLineChars="200" w:firstLine="400"/>
              <w:rPr>
                <w:rFonts w:ascii="微软雅黑" w:eastAsia="微软雅黑" w:hAnsi="微软雅黑"/>
                <w:color w:val="000000"/>
                <w:sz w:val="20"/>
                <w:szCs w:val="24"/>
              </w:rPr>
            </w:pPr>
            <w:r w:rsidRPr="008B008B">
              <w:rPr>
                <w:rFonts w:ascii="微软雅黑" w:eastAsia="微软雅黑" w:hAnsi="微软雅黑" w:hint="eastAsia"/>
                <w:color w:val="000000"/>
                <w:sz w:val="20"/>
                <w:szCs w:val="24"/>
              </w:rPr>
              <w:t>3.02%</w:t>
            </w:r>
          </w:p>
        </w:tc>
      </w:tr>
    </w:tbl>
    <w:p w:rsidR="00490CB5" w:rsidRPr="000C3852" w:rsidRDefault="00490CB5" w:rsidP="00695D6B">
      <w:pPr>
        <w:pStyle w:val="1"/>
        <w:spacing w:beforeLines="100" w:before="312" w:afterLines="100" w:after="312" w:line="360" w:lineRule="auto"/>
        <w:jc w:val="center"/>
        <w:rPr>
          <w:rFonts w:ascii="微软雅黑" w:eastAsia="微软雅黑" w:hAnsi="微软雅黑"/>
          <w:color w:val="000000"/>
          <w:kern w:val="0"/>
          <w:sz w:val="28"/>
          <w:szCs w:val="24"/>
        </w:rPr>
      </w:pPr>
      <w:r w:rsidRPr="000C3852">
        <w:rPr>
          <w:rFonts w:ascii="微软雅黑" w:eastAsia="微软雅黑" w:hAnsi="微软雅黑" w:hint="eastAsia"/>
          <w:color w:val="000000"/>
          <w:kern w:val="0"/>
          <w:sz w:val="28"/>
          <w:szCs w:val="24"/>
        </w:rPr>
        <w:t>§</w:t>
      </w:r>
      <w:r w:rsidR="00571097">
        <w:rPr>
          <w:rFonts w:ascii="微软雅黑" w:eastAsia="微软雅黑" w:hAnsi="微软雅黑"/>
          <w:color w:val="000000"/>
          <w:kern w:val="0"/>
          <w:sz w:val="28"/>
          <w:szCs w:val="24"/>
        </w:rPr>
        <w:t>5</w:t>
      </w:r>
      <w:r w:rsidRPr="000C3852">
        <w:rPr>
          <w:rFonts w:ascii="微软雅黑" w:eastAsia="微软雅黑" w:hAnsi="微软雅黑"/>
          <w:color w:val="000000"/>
          <w:kern w:val="0"/>
          <w:sz w:val="28"/>
          <w:szCs w:val="24"/>
        </w:rPr>
        <w:t xml:space="preserve"> </w:t>
      </w:r>
      <w:r w:rsidRPr="000C3852">
        <w:rPr>
          <w:rFonts w:ascii="微软雅黑" w:eastAsia="微软雅黑" w:hAnsi="微软雅黑" w:hint="eastAsia"/>
          <w:color w:val="000000"/>
          <w:kern w:val="0"/>
          <w:sz w:val="28"/>
          <w:szCs w:val="24"/>
        </w:rPr>
        <w:t>市场回顾及产品运作分析</w:t>
      </w:r>
    </w:p>
    <w:p w:rsidR="00490CB5" w:rsidRPr="000C3852" w:rsidRDefault="004F0699" w:rsidP="00CB1BF3">
      <w:pPr>
        <w:spacing w:line="360" w:lineRule="auto"/>
        <w:rPr>
          <w:rFonts w:ascii="微软雅黑" w:eastAsia="微软雅黑" w:hAnsi="微软雅黑"/>
          <w:b/>
          <w:sz w:val="24"/>
          <w:szCs w:val="28"/>
        </w:rPr>
      </w:pPr>
      <w:r>
        <w:rPr>
          <w:rFonts w:ascii="微软雅黑" w:eastAsia="微软雅黑" w:hAnsi="微软雅黑"/>
          <w:b/>
          <w:sz w:val="24"/>
          <w:szCs w:val="28"/>
        </w:rPr>
        <w:t>5</w:t>
      </w:r>
      <w:r w:rsidR="00490CB5" w:rsidRPr="000C3852">
        <w:rPr>
          <w:rFonts w:ascii="微软雅黑" w:eastAsia="微软雅黑" w:hAnsi="微软雅黑"/>
          <w:b/>
          <w:sz w:val="24"/>
          <w:szCs w:val="28"/>
        </w:rPr>
        <w:t xml:space="preserve">.1 </w:t>
      </w:r>
      <w:r w:rsidR="00490CB5" w:rsidRPr="000C3852">
        <w:rPr>
          <w:rFonts w:ascii="微软雅黑" w:eastAsia="微软雅黑" w:hAnsi="微软雅黑" w:hint="eastAsia"/>
          <w:b/>
          <w:sz w:val="24"/>
          <w:szCs w:val="28"/>
        </w:rPr>
        <w:t>市场回顾</w:t>
      </w:r>
    </w:p>
    <w:p w:rsidR="00943EDC" w:rsidRPr="00562ACC" w:rsidRDefault="00943EDC" w:rsidP="00943EDC">
      <w:pPr>
        <w:spacing w:line="360" w:lineRule="auto"/>
        <w:ind w:firstLineChars="200" w:firstLine="480"/>
        <w:rPr>
          <w:rFonts w:ascii="微软雅黑" w:eastAsia="微软雅黑" w:hAnsi="微软雅黑"/>
          <w:sz w:val="24"/>
          <w:szCs w:val="28"/>
        </w:rPr>
      </w:pPr>
      <w:r>
        <w:rPr>
          <w:rFonts w:ascii="微软雅黑" w:eastAsia="微软雅黑" w:hAnsi="微软雅黑" w:hint="eastAsia"/>
          <w:sz w:val="24"/>
          <w:szCs w:val="28"/>
        </w:rPr>
        <w:t>整体看</w:t>
      </w:r>
      <w:r w:rsidRPr="00562ACC">
        <w:rPr>
          <w:rFonts w:ascii="微软雅黑" w:eastAsia="微软雅黑" w:hAnsi="微软雅黑" w:hint="eastAsia"/>
          <w:sz w:val="24"/>
          <w:szCs w:val="28"/>
        </w:rPr>
        <w:t>17年经济略超预期，主要受益于供给侧改革和地产去库存政策。低库存和海外复苏形成了周期共振。</w:t>
      </w:r>
      <w:r>
        <w:rPr>
          <w:rFonts w:ascii="微软雅黑" w:eastAsia="微软雅黑" w:hAnsi="微软雅黑" w:hint="eastAsia"/>
          <w:sz w:val="24"/>
          <w:szCs w:val="28"/>
        </w:rPr>
        <w:t>上半年经济增速超出预期，三季度略有回落，但依然平稳</w:t>
      </w:r>
      <w:r w:rsidR="00FE743C">
        <w:rPr>
          <w:rFonts w:ascii="微软雅黑" w:eastAsia="微软雅黑" w:hAnsi="微软雅黑" w:hint="eastAsia"/>
          <w:sz w:val="24"/>
          <w:szCs w:val="28"/>
        </w:rPr>
        <w:t>，</w:t>
      </w:r>
      <w:r w:rsidRPr="00562ACC">
        <w:rPr>
          <w:rFonts w:ascii="微软雅黑" w:eastAsia="微软雅黑" w:hAnsi="微软雅黑" w:hint="eastAsia"/>
          <w:sz w:val="24"/>
          <w:szCs w:val="28"/>
        </w:rPr>
        <w:t>四季度需求继续缓慢回落，但总体增速仍维持较高水平。当前工业企业库存水平已经明显回升，继续大幅补库存动力减弱，库存水平大概率震荡回落。由于经济增速偏高，稳增长诉求下降，金融监管有序推进。金融监管与去杠杆对货币政策会有所影响，同时，预计通胀水平的上升也会制约货币宽松。今年人民币汇率出现了明显的升值，</w:t>
      </w:r>
      <w:r w:rsidR="00875EF7">
        <w:rPr>
          <w:rFonts w:ascii="微软雅黑" w:eastAsia="微软雅黑" w:hAnsi="微软雅黑" w:hint="eastAsia"/>
          <w:sz w:val="24"/>
          <w:szCs w:val="28"/>
        </w:rPr>
        <w:t>虽然四季度人民币小幅贬值，中期来看汇率大概率会保持震荡，</w:t>
      </w:r>
      <w:r w:rsidR="00875EF7">
        <w:rPr>
          <w:rFonts w:ascii="微软雅黑" w:eastAsia="微软雅黑" w:hAnsi="微软雅黑"/>
          <w:sz w:val="24"/>
          <w:szCs w:val="28"/>
        </w:rPr>
        <w:t>但</w:t>
      </w:r>
      <w:r w:rsidRPr="00562ACC">
        <w:rPr>
          <w:rFonts w:ascii="微软雅黑" w:eastAsia="微软雅黑" w:hAnsi="微软雅黑" w:hint="eastAsia"/>
          <w:sz w:val="24"/>
          <w:szCs w:val="28"/>
        </w:rPr>
        <w:t>当前国内经济韧性较强，全球经济环境稳中向好，人民币汇率不具备大幅波动基础。</w:t>
      </w:r>
    </w:p>
    <w:p w:rsidR="00943EDC" w:rsidRDefault="00943EDC" w:rsidP="00943EDC">
      <w:pPr>
        <w:spacing w:line="360" w:lineRule="auto"/>
        <w:ind w:firstLineChars="200" w:firstLine="480"/>
        <w:rPr>
          <w:rFonts w:ascii="微软雅黑" w:eastAsia="微软雅黑" w:hAnsi="微软雅黑"/>
          <w:sz w:val="24"/>
          <w:szCs w:val="28"/>
        </w:rPr>
      </w:pPr>
      <w:r w:rsidRPr="002A0B34">
        <w:rPr>
          <w:rFonts w:ascii="微软雅黑" w:eastAsia="微软雅黑" w:hAnsi="微软雅黑" w:hint="eastAsia"/>
          <w:sz w:val="24"/>
          <w:szCs w:val="28"/>
        </w:rPr>
        <w:t>权益</w:t>
      </w:r>
      <w:r w:rsidRPr="002A0B34">
        <w:rPr>
          <w:rFonts w:ascii="微软雅黑" w:eastAsia="微软雅黑" w:hAnsi="微软雅黑"/>
          <w:sz w:val="24"/>
          <w:szCs w:val="28"/>
        </w:rPr>
        <w:t>市场方面，</w:t>
      </w:r>
      <w:r w:rsidRPr="002A0B34">
        <w:rPr>
          <w:rFonts w:ascii="微软雅黑" w:eastAsia="微软雅黑" w:hAnsi="微软雅黑" w:hint="eastAsia"/>
          <w:sz w:val="24"/>
          <w:szCs w:val="28"/>
        </w:rPr>
        <w:t>从整个</w:t>
      </w:r>
      <w:r w:rsidRPr="002A0B34">
        <w:rPr>
          <w:rFonts w:ascii="微软雅黑" w:eastAsia="微软雅黑" w:hAnsi="微软雅黑"/>
          <w:sz w:val="24"/>
          <w:szCs w:val="28"/>
        </w:rPr>
        <w:t>区间运作情况来看，</w:t>
      </w:r>
      <w:r w:rsidRPr="002A0B34">
        <w:rPr>
          <w:rFonts w:ascii="微软雅黑" w:eastAsia="微软雅黑" w:hAnsi="微软雅黑" w:hint="eastAsia"/>
          <w:sz w:val="24"/>
          <w:szCs w:val="28"/>
        </w:rPr>
        <w:t>大盘股</w:t>
      </w:r>
      <w:r w:rsidRPr="002A0B34">
        <w:rPr>
          <w:rFonts w:ascii="微软雅黑" w:eastAsia="微软雅黑" w:hAnsi="微软雅黑"/>
          <w:sz w:val="24"/>
          <w:szCs w:val="28"/>
        </w:rPr>
        <w:t>整体表现好于中小创，行业和个股分化严重。</w:t>
      </w:r>
      <w:r w:rsidRPr="002A0B34">
        <w:rPr>
          <w:rFonts w:ascii="微软雅黑" w:eastAsia="微软雅黑" w:hAnsi="微软雅黑" w:hint="eastAsia"/>
          <w:sz w:val="24"/>
          <w:szCs w:val="28"/>
        </w:rPr>
        <w:t>以白酒</w:t>
      </w:r>
      <w:r w:rsidRPr="002A0B34">
        <w:rPr>
          <w:rFonts w:ascii="微软雅黑" w:eastAsia="微软雅黑" w:hAnsi="微软雅黑"/>
          <w:sz w:val="24"/>
          <w:szCs w:val="28"/>
        </w:rPr>
        <w:t>、</w:t>
      </w:r>
      <w:r w:rsidRPr="002A0B34">
        <w:rPr>
          <w:rFonts w:ascii="微软雅黑" w:eastAsia="微软雅黑" w:hAnsi="微软雅黑" w:hint="eastAsia"/>
          <w:sz w:val="24"/>
          <w:szCs w:val="28"/>
        </w:rPr>
        <w:t>家电和</w:t>
      </w:r>
      <w:r w:rsidRPr="002A0B34">
        <w:rPr>
          <w:rFonts w:ascii="微软雅黑" w:eastAsia="微软雅黑" w:hAnsi="微软雅黑"/>
          <w:sz w:val="24"/>
          <w:szCs w:val="28"/>
        </w:rPr>
        <w:t>部分医药蓝筹为代表的消费板块取得了较好的超额收益，但整体成长板块处于横盘整理和阴跌态势，继续消化高估值、业绩不达标、</w:t>
      </w:r>
      <w:r w:rsidRPr="002A0B34">
        <w:rPr>
          <w:rFonts w:ascii="微软雅黑" w:eastAsia="微软雅黑" w:hAnsi="微软雅黑" w:hint="eastAsia"/>
          <w:sz w:val="24"/>
          <w:szCs w:val="28"/>
        </w:rPr>
        <w:t>解禁</w:t>
      </w:r>
      <w:r w:rsidRPr="002A0B34">
        <w:rPr>
          <w:rFonts w:ascii="微软雅黑" w:eastAsia="微软雅黑" w:hAnsi="微软雅黑"/>
          <w:sz w:val="24"/>
          <w:szCs w:val="28"/>
        </w:rPr>
        <w:t>等利空因素</w:t>
      </w:r>
      <w:r w:rsidRPr="002A0B34">
        <w:rPr>
          <w:rFonts w:ascii="微软雅黑" w:eastAsia="微软雅黑" w:hAnsi="微软雅黑" w:hint="eastAsia"/>
          <w:sz w:val="24"/>
          <w:szCs w:val="28"/>
        </w:rPr>
        <w:t>，</w:t>
      </w:r>
      <w:r w:rsidRPr="002A0B34">
        <w:rPr>
          <w:rFonts w:ascii="微软雅黑" w:eastAsia="微软雅黑" w:hAnsi="微软雅黑"/>
          <w:sz w:val="24"/>
          <w:szCs w:val="28"/>
        </w:rPr>
        <w:t>表现相对较差。</w:t>
      </w:r>
      <w:r w:rsidRPr="002A0B34">
        <w:rPr>
          <w:rFonts w:ascii="微软雅黑" w:eastAsia="微软雅黑" w:hAnsi="微软雅黑" w:hint="eastAsia"/>
          <w:sz w:val="24"/>
          <w:szCs w:val="28"/>
        </w:rPr>
        <w:t>当前市场各个行业都已经开始普遍认同“龙头”的投资价值，这就意味着投资的逻辑已经开始慢慢地从公司的短期基本面转向了中期的行业竞争格局重构。在这种逻辑下，市场将不再不关心短期的基本面波动，而将关注的重点放在行业竞争格局重构、优势企业中长期的行业地</w:t>
      </w:r>
      <w:r w:rsidRPr="002A0B34">
        <w:rPr>
          <w:rFonts w:ascii="微软雅黑" w:eastAsia="微软雅黑" w:hAnsi="微软雅黑" w:hint="eastAsia"/>
          <w:sz w:val="24"/>
          <w:szCs w:val="28"/>
        </w:rPr>
        <w:lastRenderedPageBreak/>
        <w:t>位上来。</w:t>
      </w:r>
    </w:p>
    <w:p w:rsidR="00490CB5" w:rsidRPr="000C3852" w:rsidRDefault="004F0699" w:rsidP="00CB1BF3">
      <w:pPr>
        <w:spacing w:line="360" w:lineRule="auto"/>
        <w:rPr>
          <w:rFonts w:ascii="微软雅黑" w:eastAsia="微软雅黑" w:hAnsi="微软雅黑"/>
          <w:b/>
          <w:sz w:val="24"/>
          <w:szCs w:val="28"/>
        </w:rPr>
      </w:pPr>
      <w:r>
        <w:rPr>
          <w:rFonts w:ascii="微软雅黑" w:eastAsia="微软雅黑" w:hAnsi="微软雅黑"/>
          <w:b/>
          <w:sz w:val="24"/>
          <w:szCs w:val="28"/>
        </w:rPr>
        <w:t>5</w:t>
      </w:r>
      <w:r w:rsidR="00490CB5" w:rsidRPr="000C3852">
        <w:rPr>
          <w:rFonts w:ascii="微软雅黑" w:eastAsia="微软雅黑" w:hAnsi="微软雅黑"/>
          <w:b/>
          <w:sz w:val="24"/>
          <w:szCs w:val="28"/>
        </w:rPr>
        <w:t xml:space="preserve">.2 </w:t>
      </w:r>
      <w:r w:rsidR="00490CB5" w:rsidRPr="000C3852">
        <w:rPr>
          <w:rFonts w:ascii="微软雅黑" w:eastAsia="微软雅黑" w:hAnsi="微软雅黑" w:hint="eastAsia"/>
          <w:b/>
          <w:sz w:val="24"/>
          <w:szCs w:val="28"/>
        </w:rPr>
        <w:t>运作分析</w:t>
      </w:r>
    </w:p>
    <w:p w:rsidR="00490CB5" w:rsidRDefault="00490CB5" w:rsidP="00CB1BF3">
      <w:pPr>
        <w:spacing w:line="360" w:lineRule="auto"/>
        <w:ind w:firstLineChars="200" w:firstLine="480"/>
        <w:rPr>
          <w:rFonts w:ascii="微软雅黑" w:eastAsia="微软雅黑" w:hAnsi="微软雅黑"/>
          <w:sz w:val="24"/>
          <w:szCs w:val="28"/>
        </w:rPr>
      </w:pPr>
      <w:r w:rsidRPr="00986B19">
        <w:rPr>
          <w:rFonts w:ascii="微软雅黑" w:eastAsia="微软雅黑" w:hAnsi="微软雅黑" w:hint="eastAsia"/>
          <w:sz w:val="24"/>
          <w:szCs w:val="28"/>
        </w:rPr>
        <w:t>产品成立初期以货币基金、</w:t>
      </w:r>
      <w:r>
        <w:rPr>
          <w:rFonts w:ascii="微软雅黑" w:eastAsia="微软雅黑" w:hAnsi="微软雅黑" w:hint="eastAsia"/>
          <w:sz w:val="24"/>
          <w:szCs w:val="28"/>
        </w:rPr>
        <w:t>同业存款</w:t>
      </w:r>
      <w:r w:rsidRPr="00986B19">
        <w:rPr>
          <w:rFonts w:ascii="微软雅黑" w:eastAsia="微软雅黑" w:hAnsi="微软雅黑" w:hint="eastAsia"/>
          <w:sz w:val="24"/>
          <w:szCs w:val="28"/>
        </w:rPr>
        <w:t>等流动性较好的资产为主，后续逐步增加</w:t>
      </w:r>
      <w:r w:rsidRPr="00384E6B">
        <w:rPr>
          <w:rFonts w:ascii="微软雅黑" w:eastAsia="微软雅黑" w:hAnsi="微软雅黑" w:hint="eastAsia"/>
          <w:sz w:val="24"/>
          <w:szCs w:val="28"/>
        </w:rPr>
        <w:t>了对</w:t>
      </w:r>
      <w:r w:rsidR="00384E6B" w:rsidRPr="00384E6B">
        <w:rPr>
          <w:rFonts w:ascii="微软雅黑" w:eastAsia="微软雅黑" w:hAnsi="微软雅黑" w:hint="eastAsia"/>
          <w:sz w:val="24"/>
          <w:szCs w:val="28"/>
        </w:rPr>
        <w:t>固定收益</w:t>
      </w:r>
      <w:r w:rsidRPr="00384E6B">
        <w:rPr>
          <w:rFonts w:ascii="微软雅黑" w:eastAsia="微软雅黑" w:hAnsi="微软雅黑" w:hint="eastAsia"/>
          <w:sz w:val="24"/>
          <w:szCs w:val="28"/>
        </w:rPr>
        <w:t>类资产</w:t>
      </w:r>
      <w:r w:rsidRPr="00986B19">
        <w:rPr>
          <w:rFonts w:ascii="微软雅黑" w:eastAsia="微软雅黑" w:hAnsi="微软雅黑" w:hint="eastAsia"/>
          <w:sz w:val="24"/>
          <w:szCs w:val="28"/>
        </w:rPr>
        <w:t>、</w:t>
      </w:r>
      <w:r>
        <w:rPr>
          <w:rFonts w:ascii="微软雅黑" w:eastAsia="微软雅黑" w:hAnsi="微软雅黑" w:hint="eastAsia"/>
          <w:sz w:val="24"/>
          <w:szCs w:val="28"/>
        </w:rPr>
        <w:t>信贷资产流转</w:t>
      </w:r>
      <w:r w:rsidR="00B26562">
        <w:rPr>
          <w:rFonts w:ascii="微软雅黑" w:eastAsia="微软雅黑" w:hAnsi="微软雅黑" w:hint="eastAsia"/>
          <w:sz w:val="24"/>
          <w:szCs w:val="28"/>
        </w:rPr>
        <w:t>类</w:t>
      </w:r>
      <w:r w:rsidR="00384E6B">
        <w:rPr>
          <w:rFonts w:ascii="微软雅黑" w:eastAsia="微软雅黑" w:hAnsi="微软雅黑" w:hint="eastAsia"/>
          <w:sz w:val="24"/>
          <w:szCs w:val="28"/>
        </w:rPr>
        <w:t>及结构化配资等低风险权益类资产的配置</w:t>
      </w:r>
      <w:r w:rsidRPr="00986B19">
        <w:rPr>
          <w:rFonts w:ascii="微软雅黑" w:eastAsia="微软雅黑" w:hAnsi="微软雅黑" w:hint="eastAsia"/>
          <w:sz w:val="24"/>
          <w:szCs w:val="28"/>
        </w:rPr>
        <w:t>，并根据市场机会动态选择时机配置</w:t>
      </w:r>
      <w:r w:rsidR="00B26562">
        <w:rPr>
          <w:rFonts w:ascii="微软雅黑" w:eastAsia="微软雅黑" w:hAnsi="微软雅黑" w:hint="eastAsia"/>
          <w:sz w:val="24"/>
          <w:szCs w:val="28"/>
        </w:rPr>
        <w:t>少量</w:t>
      </w:r>
      <w:r w:rsidRPr="00986B19">
        <w:rPr>
          <w:rFonts w:ascii="微软雅黑" w:eastAsia="微软雅黑" w:hAnsi="微软雅黑" w:hint="eastAsia"/>
          <w:sz w:val="24"/>
          <w:szCs w:val="28"/>
        </w:rPr>
        <w:t>权益类资产。</w:t>
      </w:r>
      <w:r w:rsidRPr="000C3852">
        <w:rPr>
          <w:rFonts w:ascii="微软雅黑" w:eastAsia="微软雅黑" w:hAnsi="微软雅黑" w:hint="eastAsia"/>
          <w:sz w:val="24"/>
          <w:szCs w:val="28"/>
        </w:rPr>
        <w:t>整体</w:t>
      </w:r>
      <w:r w:rsidRPr="000C3852">
        <w:rPr>
          <w:rFonts w:ascii="微软雅黑" w:eastAsia="微软雅黑" w:hAnsi="微软雅黑"/>
          <w:sz w:val="24"/>
          <w:szCs w:val="28"/>
        </w:rPr>
        <w:t>上产品还是</w:t>
      </w:r>
      <w:r w:rsidR="00384E6B">
        <w:rPr>
          <w:rFonts w:ascii="微软雅黑" w:eastAsia="微软雅黑" w:hAnsi="微软雅黑" w:hint="eastAsia"/>
          <w:sz w:val="24"/>
          <w:szCs w:val="28"/>
        </w:rPr>
        <w:t>保持</w:t>
      </w:r>
      <w:r w:rsidRPr="000C3852">
        <w:rPr>
          <w:rFonts w:ascii="微软雅黑" w:eastAsia="微软雅黑" w:hAnsi="微软雅黑"/>
          <w:sz w:val="24"/>
          <w:szCs w:val="28"/>
        </w:rPr>
        <w:t>类固定收益资产配置为主的基调，</w:t>
      </w:r>
      <w:r w:rsidRPr="000C3852">
        <w:rPr>
          <w:rFonts w:ascii="微软雅黑" w:eastAsia="微软雅黑" w:hAnsi="微软雅黑" w:hint="eastAsia"/>
          <w:sz w:val="24"/>
          <w:szCs w:val="28"/>
        </w:rPr>
        <w:t>同时</w:t>
      </w:r>
      <w:r w:rsidRPr="000C3852">
        <w:rPr>
          <w:rFonts w:ascii="微软雅黑" w:eastAsia="微软雅黑" w:hAnsi="微软雅黑"/>
          <w:sz w:val="24"/>
          <w:szCs w:val="28"/>
        </w:rPr>
        <w:t>结合跨季、跨半年</w:t>
      </w:r>
      <w:r w:rsidR="00B26562">
        <w:rPr>
          <w:rFonts w:ascii="微软雅黑" w:eastAsia="微软雅黑" w:hAnsi="微软雅黑" w:hint="eastAsia"/>
          <w:sz w:val="24"/>
          <w:szCs w:val="28"/>
        </w:rPr>
        <w:t>等</w:t>
      </w:r>
      <w:r w:rsidRPr="000C3852">
        <w:rPr>
          <w:rFonts w:ascii="微软雅黑" w:eastAsia="微软雅黑" w:hAnsi="微软雅黑"/>
          <w:sz w:val="24"/>
          <w:szCs w:val="28"/>
        </w:rPr>
        <w:t>特殊时点</w:t>
      </w:r>
      <w:r w:rsidR="00384E6B">
        <w:rPr>
          <w:rFonts w:ascii="微软雅黑" w:eastAsia="微软雅黑" w:hAnsi="微软雅黑" w:hint="eastAsia"/>
          <w:sz w:val="24"/>
          <w:szCs w:val="28"/>
        </w:rPr>
        <w:t>把握阶段</w:t>
      </w:r>
      <w:r w:rsidR="00384E6B">
        <w:rPr>
          <w:rFonts w:ascii="微软雅黑" w:eastAsia="微软雅黑" w:hAnsi="微软雅黑"/>
          <w:sz w:val="24"/>
          <w:szCs w:val="28"/>
        </w:rPr>
        <w:t>交易性</w:t>
      </w:r>
      <w:r w:rsidR="00384E6B">
        <w:rPr>
          <w:rFonts w:ascii="微软雅黑" w:eastAsia="微软雅黑" w:hAnsi="微软雅黑" w:hint="eastAsia"/>
          <w:sz w:val="24"/>
          <w:szCs w:val="28"/>
        </w:rPr>
        <w:t>机会</w:t>
      </w:r>
      <w:r w:rsidRPr="000C3852">
        <w:rPr>
          <w:rFonts w:ascii="微软雅黑" w:eastAsia="微软雅黑" w:hAnsi="微软雅黑"/>
          <w:sz w:val="24"/>
          <w:szCs w:val="28"/>
        </w:rPr>
        <w:t>。</w:t>
      </w:r>
    </w:p>
    <w:p w:rsidR="00490CB5" w:rsidRPr="000C3852" w:rsidRDefault="004F0699" w:rsidP="00CB1BF3">
      <w:pPr>
        <w:spacing w:line="360" w:lineRule="auto"/>
        <w:rPr>
          <w:rFonts w:ascii="微软雅黑" w:eastAsia="微软雅黑" w:hAnsi="微软雅黑"/>
          <w:b/>
          <w:sz w:val="24"/>
          <w:szCs w:val="28"/>
        </w:rPr>
      </w:pPr>
      <w:r>
        <w:rPr>
          <w:rFonts w:ascii="微软雅黑" w:eastAsia="微软雅黑" w:hAnsi="微软雅黑"/>
          <w:b/>
          <w:sz w:val="24"/>
          <w:szCs w:val="28"/>
        </w:rPr>
        <w:t>5</w:t>
      </w:r>
      <w:r w:rsidR="00490CB5" w:rsidRPr="000C3852">
        <w:rPr>
          <w:rFonts w:ascii="微软雅黑" w:eastAsia="微软雅黑" w:hAnsi="微软雅黑" w:hint="eastAsia"/>
          <w:b/>
          <w:sz w:val="24"/>
          <w:szCs w:val="28"/>
        </w:rPr>
        <w:t>.3</w:t>
      </w:r>
      <w:r w:rsidR="00490CB5" w:rsidRPr="000C3852">
        <w:rPr>
          <w:rFonts w:ascii="微软雅黑" w:eastAsia="微软雅黑" w:hAnsi="微软雅黑"/>
          <w:b/>
          <w:sz w:val="24"/>
          <w:szCs w:val="28"/>
        </w:rPr>
        <w:t xml:space="preserve"> </w:t>
      </w:r>
      <w:r w:rsidR="00490CB5" w:rsidRPr="000C3852">
        <w:rPr>
          <w:rFonts w:ascii="微软雅黑" w:eastAsia="微软雅黑" w:hAnsi="微软雅黑" w:hint="eastAsia"/>
          <w:b/>
          <w:sz w:val="24"/>
          <w:szCs w:val="28"/>
        </w:rPr>
        <w:t>投资展望</w:t>
      </w:r>
    </w:p>
    <w:p w:rsidR="001D4EF0" w:rsidRDefault="00943EDC" w:rsidP="001D4EF0">
      <w:pPr>
        <w:spacing w:line="360" w:lineRule="auto"/>
        <w:ind w:firstLineChars="200" w:firstLine="480"/>
        <w:rPr>
          <w:rFonts w:ascii="微软雅黑" w:eastAsia="微软雅黑" w:hAnsi="微软雅黑"/>
          <w:sz w:val="24"/>
          <w:szCs w:val="28"/>
        </w:rPr>
      </w:pPr>
      <w:r w:rsidRPr="00562ACC">
        <w:rPr>
          <w:rFonts w:ascii="微软雅黑" w:eastAsia="微软雅黑" w:hAnsi="微软雅黑"/>
          <w:sz w:val="24"/>
          <w:szCs w:val="28"/>
        </w:rPr>
        <w:t>18</w:t>
      </w:r>
      <w:r w:rsidRPr="00562ACC">
        <w:rPr>
          <w:rFonts w:ascii="微软雅黑" w:eastAsia="微软雅黑" w:hAnsi="微软雅黑" w:hint="eastAsia"/>
          <w:sz w:val="24"/>
          <w:szCs w:val="28"/>
        </w:rPr>
        <w:t>年一季度流动性环境可能季节性宽松，但全年金融监管和去杠杆基调不太会有明显变化。</w:t>
      </w:r>
      <w:r w:rsidRPr="00562ACC">
        <w:rPr>
          <w:rFonts w:ascii="微软雅黑" w:eastAsia="微软雅黑" w:hAnsi="微软雅黑"/>
          <w:sz w:val="24"/>
          <w:szCs w:val="28"/>
        </w:rPr>
        <w:t>17</w:t>
      </w:r>
      <w:r w:rsidRPr="00562ACC">
        <w:rPr>
          <w:rFonts w:ascii="微软雅黑" w:eastAsia="微软雅黑" w:hAnsi="微软雅黑" w:hint="eastAsia"/>
          <w:sz w:val="24"/>
          <w:szCs w:val="28"/>
        </w:rPr>
        <w:t>年四季度受到金融监管和通胀预期影响，流动性环境偏紧，</w:t>
      </w:r>
      <w:r w:rsidRPr="00562ACC">
        <w:rPr>
          <w:rFonts w:ascii="微软雅黑" w:eastAsia="微软雅黑" w:hAnsi="微软雅黑"/>
          <w:sz w:val="24"/>
          <w:szCs w:val="28"/>
        </w:rPr>
        <w:t>18</w:t>
      </w:r>
      <w:r w:rsidRPr="00562ACC">
        <w:rPr>
          <w:rFonts w:ascii="微软雅黑" w:eastAsia="微软雅黑" w:hAnsi="微软雅黑" w:hint="eastAsia"/>
          <w:sz w:val="24"/>
          <w:szCs w:val="28"/>
        </w:rPr>
        <w:t>年初流动性有望环比改善。</w:t>
      </w:r>
      <w:r>
        <w:rPr>
          <w:rFonts w:ascii="微软雅黑" w:eastAsia="微软雅黑" w:hAnsi="微软雅黑" w:hint="eastAsia"/>
          <w:sz w:val="24"/>
          <w:szCs w:val="28"/>
        </w:rPr>
        <w:t>同时</w:t>
      </w:r>
      <w:r w:rsidRPr="00562ACC">
        <w:rPr>
          <w:rFonts w:ascii="微软雅黑" w:eastAsia="微软雅黑" w:hAnsi="微软雅黑" w:hint="eastAsia"/>
          <w:sz w:val="24"/>
          <w:szCs w:val="28"/>
        </w:rPr>
        <w:t>预计金融监管和去杠杆政策会持续推进，货币政策大概率维持稳健中性。财政政策方面，</w:t>
      </w:r>
      <w:r w:rsidRPr="00562ACC">
        <w:rPr>
          <w:rFonts w:ascii="微软雅黑" w:eastAsia="微软雅黑" w:hAnsi="微软雅黑"/>
          <w:sz w:val="24"/>
          <w:szCs w:val="28"/>
        </w:rPr>
        <w:t>PPP</w:t>
      </w:r>
      <w:r w:rsidRPr="00562ACC">
        <w:rPr>
          <w:rFonts w:ascii="微软雅黑" w:eastAsia="微软雅黑" w:hAnsi="微软雅黑" w:hint="eastAsia"/>
          <w:sz w:val="24"/>
          <w:szCs w:val="28"/>
        </w:rPr>
        <w:t>审核从严，财政支出预期也不宜过高。</w:t>
      </w:r>
      <w:r w:rsidR="001D4EF0" w:rsidRPr="00562ACC">
        <w:rPr>
          <w:rFonts w:ascii="微软雅黑" w:eastAsia="微软雅黑" w:hAnsi="微软雅黑" w:hint="eastAsia"/>
          <w:sz w:val="24"/>
          <w:szCs w:val="28"/>
        </w:rPr>
        <w:t>18年投资需求可能缓慢下降，其中地产投资增速较17年略降，基建和制造业大概率平稳，由于集中度提升，各行业龙头盈利相对稳定。</w:t>
      </w:r>
    </w:p>
    <w:p w:rsidR="00943EDC" w:rsidRPr="00851B20" w:rsidRDefault="00943EDC" w:rsidP="00943EDC">
      <w:pPr>
        <w:spacing w:line="360" w:lineRule="auto"/>
        <w:ind w:firstLineChars="200" w:firstLine="480"/>
        <w:rPr>
          <w:rFonts w:ascii="微软雅黑" w:eastAsia="微软雅黑" w:hAnsi="微软雅黑"/>
          <w:sz w:val="24"/>
          <w:szCs w:val="28"/>
        </w:rPr>
      </w:pPr>
      <w:r>
        <w:rPr>
          <w:rFonts w:ascii="微软雅黑" w:eastAsia="微软雅黑" w:hAnsi="微软雅黑" w:hint="eastAsia"/>
          <w:sz w:val="24"/>
          <w:szCs w:val="28"/>
        </w:rPr>
        <w:t>从权益</w:t>
      </w:r>
      <w:r>
        <w:rPr>
          <w:rFonts w:ascii="微软雅黑" w:eastAsia="微软雅黑" w:hAnsi="微软雅黑"/>
          <w:sz w:val="24"/>
          <w:szCs w:val="28"/>
        </w:rPr>
        <w:t>市场总体来看，</w:t>
      </w:r>
      <w:r w:rsidRPr="00562ACC">
        <w:rPr>
          <w:rFonts w:ascii="微软雅黑" w:eastAsia="微软雅黑" w:hAnsi="微软雅黑" w:hint="eastAsia"/>
          <w:sz w:val="24"/>
          <w:szCs w:val="28"/>
        </w:rPr>
        <w:t>板块相对估值</w:t>
      </w:r>
      <w:r w:rsidR="00FE743C">
        <w:rPr>
          <w:rFonts w:ascii="微软雅黑" w:eastAsia="微软雅黑" w:hAnsi="微软雅黑" w:hint="eastAsia"/>
          <w:sz w:val="24"/>
          <w:szCs w:val="28"/>
        </w:rPr>
        <w:t>保持稳定</w:t>
      </w:r>
      <w:r>
        <w:rPr>
          <w:rFonts w:ascii="微软雅黑" w:eastAsia="微软雅黑" w:hAnsi="微软雅黑" w:hint="eastAsia"/>
          <w:sz w:val="24"/>
          <w:szCs w:val="28"/>
        </w:rPr>
        <w:t>，</w:t>
      </w:r>
      <w:r w:rsidRPr="00562ACC">
        <w:rPr>
          <w:rFonts w:ascii="微软雅黑" w:eastAsia="微软雅黑" w:hAnsi="微软雅黑" w:hint="eastAsia"/>
          <w:sz w:val="24"/>
          <w:szCs w:val="28"/>
        </w:rPr>
        <w:t>预计</w:t>
      </w:r>
      <w:r w:rsidRPr="00562ACC">
        <w:rPr>
          <w:rFonts w:ascii="微软雅黑" w:eastAsia="微软雅黑" w:hAnsi="微软雅黑"/>
          <w:sz w:val="24"/>
          <w:szCs w:val="28"/>
        </w:rPr>
        <w:t>18</w:t>
      </w:r>
      <w:r w:rsidR="00FE743C">
        <w:rPr>
          <w:rFonts w:ascii="微软雅黑" w:eastAsia="微软雅黑" w:hAnsi="微软雅黑" w:hint="eastAsia"/>
          <w:sz w:val="24"/>
          <w:szCs w:val="28"/>
        </w:rPr>
        <w:t>年整体估值水平难有大幅提升，但结构</w:t>
      </w:r>
      <w:r w:rsidRPr="00562ACC">
        <w:rPr>
          <w:rFonts w:ascii="微软雅黑" w:eastAsia="微软雅黑" w:hAnsi="微软雅黑" w:hint="eastAsia"/>
          <w:sz w:val="24"/>
          <w:szCs w:val="28"/>
        </w:rPr>
        <w:t>上有不少公司业绩确定，估值较低，</w:t>
      </w:r>
      <w:r w:rsidRPr="00562ACC">
        <w:rPr>
          <w:rFonts w:ascii="微软雅黑" w:eastAsia="微软雅黑" w:hAnsi="微软雅黑"/>
          <w:sz w:val="24"/>
          <w:szCs w:val="28"/>
        </w:rPr>
        <w:t>17</w:t>
      </w:r>
      <w:r w:rsidRPr="00562ACC">
        <w:rPr>
          <w:rFonts w:ascii="微软雅黑" w:eastAsia="微软雅黑" w:hAnsi="微软雅黑" w:hint="eastAsia"/>
          <w:sz w:val="24"/>
          <w:szCs w:val="28"/>
        </w:rPr>
        <w:t>年由于市场风格因素被忽视，</w:t>
      </w:r>
      <w:r w:rsidRPr="00562ACC">
        <w:rPr>
          <w:rFonts w:ascii="微软雅黑" w:eastAsia="微软雅黑" w:hAnsi="微软雅黑"/>
          <w:sz w:val="24"/>
          <w:szCs w:val="28"/>
        </w:rPr>
        <w:t>18</w:t>
      </w:r>
      <w:r w:rsidRPr="00562ACC">
        <w:rPr>
          <w:rFonts w:ascii="微软雅黑" w:eastAsia="微软雅黑" w:hAnsi="微软雅黑" w:hint="eastAsia"/>
          <w:sz w:val="24"/>
          <w:szCs w:val="28"/>
        </w:rPr>
        <w:t>年有估值修复的空间。总体来看，由于</w:t>
      </w:r>
      <w:r w:rsidRPr="00562ACC">
        <w:rPr>
          <w:rFonts w:ascii="微软雅黑" w:eastAsia="微软雅黑" w:hAnsi="微软雅黑"/>
          <w:sz w:val="24"/>
          <w:szCs w:val="28"/>
        </w:rPr>
        <w:t>17</w:t>
      </w:r>
      <w:r w:rsidRPr="00562ACC">
        <w:rPr>
          <w:rFonts w:ascii="微软雅黑" w:eastAsia="微软雅黑" w:hAnsi="微软雅黑" w:hint="eastAsia"/>
          <w:sz w:val="24"/>
          <w:szCs w:val="28"/>
        </w:rPr>
        <w:t>年龙头白马风格比较极致，有很多制造和新兴产业龙头公司被市场所忽视，消费品中大众消费品、医药等行业关注度也较低。参考美国</w:t>
      </w:r>
      <w:r>
        <w:rPr>
          <w:rFonts w:ascii="微软雅黑" w:eastAsia="微软雅黑" w:hAnsi="微软雅黑" w:hint="eastAsia"/>
          <w:sz w:val="24"/>
          <w:szCs w:val="28"/>
        </w:rPr>
        <w:t>转型期经验，消费、金融和服务业有望跨越周期，</w:t>
      </w:r>
      <w:bookmarkStart w:id="0" w:name="_GoBack"/>
      <w:bookmarkEnd w:id="0"/>
      <w:r w:rsidR="009A60AA">
        <w:rPr>
          <w:rFonts w:ascii="微软雅黑" w:eastAsia="微软雅黑" w:hAnsi="微软雅黑" w:hint="eastAsia"/>
          <w:sz w:val="24"/>
          <w:szCs w:val="28"/>
        </w:rPr>
        <w:t>估值合理持续增长的龙头公司，仍有估值提升空间，</w:t>
      </w:r>
      <w:r w:rsidRPr="00562ACC">
        <w:rPr>
          <w:rFonts w:ascii="微软雅黑" w:eastAsia="微软雅黑" w:hAnsi="微软雅黑" w:hint="eastAsia"/>
          <w:sz w:val="24"/>
          <w:szCs w:val="28"/>
        </w:rPr>
        <w:t>业绩稳定、估值合理的消费品以及高股息品种</w:t>
      </w:r>
      <w:r w:rsidR="009A60AA">
        <w:rPr>
          <w:rFonts w:ascii="微软雅黑" w:eastAsia="微软雅黑" w:hAnsi="微软雅黑" w:hint="eastAsia"/>
          <w:sz w:val="24"/>
          <w:szCs w:val="28"/>
        </w:rPr>
        <w:t>值得</w:t>
      </w:r>
      <w:r w:rsidRPr="00562ACC">
        <w:rPr>
          <w:rFonts w:ascii="微软雅黑" w:eastAsia="微软雅黑" w:hAnsi="微软雅黑" w:hint="eastAsia"/>
          <w:sz w:val="24"/>
          <w:szCs w:val="28"/>
        </w:rPr>
        <w:t>持续关注。</w:t>
      </w:r>
    </w:p>
    <w:p w:rsidR="00974AD0" w:rsidRPr="007B0200" w:rsidRDefault="00750D48" w:rsidP="00695D6B">
      <w:pPr>
        <w:pStyle w:val="1"/>
        <w:spacing w:beforeLines="100" w:before="312" w:afterLines="100" w:after="312" w:line="360" w:lineRule="auto"/>
        <w:jc w:val="center"/>
        <w:rPr>
          <w:rFonts w:ascii="微软雅黑" w:eastAsia="微软雅黑" w:hAnsi="微软雅黑"/>
          <w:color w:val="000000"/>
          <w:kern w:val="0"/>
          <w:sz w:val="28"/>
          <w:szCs w:val="24"/>
        </w:rPr>
      </w:pPr>
      <w:r w:rsidRPr="004F0699">
        <w:rPr>
          <w:rFonts w:ascii="微软雅黑" w:eastAsia="微软雅黑" w:hAnsi="微软雅黑" w:hint="eastAsia"/>
          <w:color w:val="000000"/>
          <w:kern w:val="0"/>
          <w:sz w:val="28"/>
          <w:szCs w:val="24"/>
        </w:rPr>
        <w:lastRenderedPageBreak/>
        <w:t>§</w:t>
      </w:r>
      <w:r w:rsidR="00973260" w:rsidRPr="004F0699">
        <w:rPr>
          <w:rFonts w:ascii="微软雅黑" w:eastAsia="微软雅黑" w:hAnsi="微软雅黑"/>
          <w:color w:val="000000"/>
          <w:kern w:val="0"/>
          <w:sz w:val="28"/>
          <w:szCs w:val="24"/>
        </w:rPr>
        <w:t>6</w:t>
      </w:r>
      <w:r w:rsidRPr="004F0699">
        <w:rPr>
          <w:rFonts w:ascii="微软雅黑" w:eastAsia="微软雅黑" w:hAnsi="微软雅黑"/>
          <w:color w:val="000000"/>
          <w:kern w:val="0"/>
          <w:sz w:val="28"/>
          <w:szCs w:val="24"/>
        </w:rPr>
        <w:t xml:space="preserve"> </w:t>
      </w:r>
      <w:r w:rsidRPr="004F0699">
        <w:rPr>
          <w:rFonts w:ascii="微软雅黑" w:eastAsia="微软雅黑" w:hAnsi="微软雅黑" w:hint="eastAsia"/>
          <w:color w:val="000000"/>
          <w:kern w:val="0"/>
          <w:sz w:val="28"/>
          <w:szCs w:val="24"/>
        </w:rPr>
        <w:t>开放式</w:t>
      </w:r>
      <w:r w:rsidR="00CD2923" w:rsidRPr="004F0699">
        <w:rPr>
          <w:rFonts w:ascii="微软雅黑" w:eastAsia="微软雅黑" w:hAnsi="微软雅黑" w:hint="eastAsia"/>
          <w:color w:val="000000"/>
          <w:kern w:val="0"/>
          <w:sz w:val="28"/>
          <w:szCs w:val="24"/>
        </w:rPr>
        <w:t>产品</w:t>
      </w:r>
      <w:r w:rsidRPr="004F0699">
        <w:rPr>
          <w:rFonts w:ascii="微软雅黑" w:eastAsia="微软雅黑" w:hAnsi="微软雅黑" w:hint="eastAsia"/>
          <w:color w:val="000000"/>
          <w:kern w:val="0"/>
          <w:sz w:val="28"/>
          <w:szCs w:val="24"/>
        </w:rPr>
        <w:t>份额变动</w:t>
      </w:r>
    </w:p>
    <w:p w:rsidR="00750D48" w:rsidRPr="00173314" w:rsidRDefault="00750D48" w:rsidP="00CB1BF3">
      <w:pPr>
        <w:autoSpaceDE w:val="0"/>
        <w:autoSpaceDN w:val="0"/>
        <w:adjustRightInd w:val="0"/>
        <w:spacing w:before="29" w:line="360" w:lineRule="auto"/>
        <w:ind w:left="15"/>
        <w:jc w:val="right"/>
        <w:rPr>
          <w:rFonts w:ascii="微软雅黑" w:eastAsia="微软雅黑" w:hAnsi="微软雅黑"/>
          <w:color w:val="000000"/>
          <w:kern w:val="0"/>
          <w:sz w:val="24"/>
          <w:szCs w:val="24"/>
        </w:rPr>
      </w:pPr>
      <w:r w:rsidRPr="00173314">
        <w:rPr>
          <w:rFonts w:ascii="微软雅黑" w:eastAsia="微软雅黑" w:hAnsi="微软雅黑" w:cs="宋体" w:hint="eastAsia"/>
          <w:color w:val="000000"/>
          <w:kern w:val="0"/>
          <w:sz w:val="24"/>
          <w:szCs w:val="24"/>
        </w:rPr>
        <w:t>单位：份</w:t>
      </w:r>
    </w:p>
    <w:tbl>
      <w:tblPr>
        <w:tblW w:w="0" w:type="auto"/>
        <w:tblInd w:w="-106" w:type="dxa"/>
        <w:tblLayout w:type="fixed"/>
        <w:tblLook w:val="0000" w:firstRow="0" w:lastRow="0" w:firstColumn="0" w:lastColumn="0" w:noHBand="0" w:noVBand="0"/>
      </w:tblPr>
      <w:tblGrid>
        <w:gridCol w:w="4609"/>
        <w:gridCol w:w="4025"/>
      </w:tblGrid>
      <w:tr w:rsidR="00750D48" w:rsidRPr="00173314"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750D48" w:rsidP="00CB1BF3">
            <w:pPr>
              <w:autoSpaceDE w:val="0"/>
              <w:autoSpaceDN w:val="0"/>
              <w:adjustRightInd w:val="0"/>
              <w:spacing w:before="29" w:line="360" w:lineRule="auto"/>
              <w:ind w:left="17"/>
              <w:jc w:val="left"/>
              <w:rPr>
                <w:rFonts w:ascii="微软雅黑" w:eastAsia="微软雅黑" w:hAnsi="微软雅黑"/>
                <w:color w:val="000000"/>
                <w:kern w:val="0"/>
                <w:sz w:val="24"/>
                <w:szCs w:val="24"/>
              </w:rPr>
            </w:pPr>
            <w:r w:rsidRPr="00173314">
              <w:rPr>
                <w:rFonts w:ascii="微软雅黑" w:eastAsia="微软雅黑" w:hAnsi="微软雅黑"/>
                <w:color w:val="000000"/>
                <w:kern w:val="0"/>
                <w:sz w:val="24"/>
                <w:szCs w:val="24"/>
              </w:rPr>
              <w:t>报告期期初</w:t>
            </w:r>
            <w:r w:rsidR="008D34D8" w:rsidRPr="00173314">
              <w:rPr>
                <w:rFonts w:ascii="微软雅黑" w:eastAsia="微软雅黑" w:hAnsi="微软雅黑" w:hint="eastAsia"/>
                <w:color w:val="000000"/>
                <w:kern w:val="0"/>
                <w:sz w:val="24"/>
                <w:szCs w:val="24"/>
              </w:rPr>
              <w:t>产品</w:t>
            </w:r>
            <w:r w:rsidRPr="00173314">
              <w:rPr>
                <w:rFonts w:ascii="微软雅黑" w:eastAsia="微软雅黑" w:hAnsi="微软雅黑"/>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8D34D8" w:rsidP="00CB1BF3">
            <w:pPr>
              <w:autoSpaceDE w:val="0"/>
              <w:autoSpaceDN w:val="0"/>
              <w:adjustRightInd w:val="0"/>
              <w:spacing w:before="29" w:line="360" w:lineRule="auto"/>
              <w:ind w:left="17"/>
              <w:jc w:val="right"/>
              <w:rPr>
                <w:rFonts w:ascii="微软雅黑" w:eastAsia="微软雅黑" w:hAnsi="微软雅黑"/>
                <w:color w:val="000000"/>
                <w:sz w:val="24"/>
                <w:szCs w:val="24"/>
              </w:rPr>
            </w:pPr>
            <w:r w:rsidRPr="00173314">
              <w:rPr>
                <w:rFonts w:ascii="微软雅黑" w:eastAsia="微软雅黑" w:hAnsi="微软雅黑"/>
                <w:color w:val="000000"/>
                <w:sz w:val="24"/>
                <w:szCs w:val="24"/>
              </w:rPr>
              <w:t>1998072000</w:t>
            </w:r>
            <w:r w:rsidR="008B008B">
              <w:rPr>
                <w:rFonts w:ascii="微软雅黑" w:eastAsia="微软雅黑" w:hAnsi="微软雅黑"/>
                <w:color w:val="000000"/>
                <w:sz w:val="24"/>
                <w:szCs w:val="24"/>
              </w:rPr>
              <w:t>.00</w:t>
            </w:r>
          </w:p>
        </w:tc>
      </w:tr>
      <w:tr w:rsidR="00750D48" w:rsidRPr="00173314"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750D48" w:rsidP="00CB1BF3">
            <w:pPr>
              <w:autoSpaceDE w:val="0"/>
              <w:autoSpaceDN w:val="0"/>
              <w:adjustRightInd w:val="0"/>
              <w:spacing w:before="29" w:line="360" w:lineRule="auto"/>
              <w:ind w:left="17"/>
              <w:jc w:val="left"/>
              <w:rPr>
                <w:rFonts w:ascii="微软雅黑" w:eastAsia="微软雅黑" w:hAnsi="微软雅黑"/>
                <w:color w:val="000000"/>
                <w:kern w:val="0"/>
                <w:sz w:val="24"/>
                <w:szCs w:val="24"/>
              </w:rPr>
            </w:pPr>
            <w:r w:rsidRPr="00173314">
              <w:rPr>
                <w:rFonts w:ascii="微软雅黑" w:eastAsia="微软雅黑" w:hAnsi="微软雅黑"/>
                <w:color w:val="000000"/>
                <w:kern w:val="0"/>
                <w:sz w:val="24"/>
                <w:szCs w:val="24"/>
              </w:rPr>
              <w:t>报告期</w:t>
            </w:r>
            <w:r w:rsidR="008D34D8" w:rsidRPr="00173314">
              <w:rPr>
                <w:rFonts w:ascii="微软雅黑" w:eastAsia="微软雅黑" w:hAnsi="微软雅黑" w:hint="eastAsia"/>
                <w:color w:val="000000"/>
                <w:kern w:val="0"/>
                <w:sz w:val="24"/>
                <w:szCs w:val="24"/>
              </w:rPr>
              <w:t>产品</w:t>
            </w:r>
            <w:r w:rsidRPr="00173314">
              <w:rPr>
                <w:rFonts w:ascii="微软雅黑" w:eastAsia="微软雅黑" w:hAnsi="微软雅黑"/>
                <w:color w:val="000000"/>
                <w:kern w:val="0"/>
                <w:sz w:val="24"/>
                <w:szCs w:val="24"/>
              </w:rPr>
              <w:t>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8B008B" w:rsidP="008B008B">
            <w:pPr>
              <w:autoSpaceDE w:val="0"/>
              <w:autoSpaceDN w:val="0"/>
              <w:adjustRightInd w:val="0"/>
              <w:spacing w:before="29" w:line="360" w:lineRule="auto"/>
              <w:ind w:left="17"/>
              <w:jc w:val="right"/>
              <w:rPr>
                <w:rFonts w:ascii="微软雅黑" w:eastAsia="微软雅黑" w:hAnsi="微软雅黑"/>
                <w:color w:val="000000"/>
                <w:sz w:val="24"/>
                <w:szCs w:val="24"/>
              </w:rPr>
            </w:pPr>
            <w:r w:rsidRPr="008B008B">
              <w:rPr>
                <w:rFonts w:ascii="微软雅黑" w:eastAsia="微软雅黑" w:hAnsi="微软雅黑"/>
                <w:color w:val="000000"/>
                <w:sz w:val="24"/>
                <w:szCs w:val="24"/>
              </w:rPr>
              <w:t>1642869605.14</w:t>
            </w:r>
          </w:p>
        </w:tc>
      </w:tr>
      <w:tr w:rsidR="00750D48" w:rsidRPr="00173314"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750D48" w:rsidP="00CB1BF3">
            <w:pPr>
              <w:autoSpaceDE w:val="0"/>
              <w:autoSpaceDN w:val="0"/>
              <w:adjustRightInd w:val="0"/>
              <w:spacing w:before="29" w:line="360" w:lineRule="auto"/>
              <w:ind w:left="17"/>
              <w:jc w:val="left"/>
              <w:rPr>
                <w:rFonts w:ascii="微软雅黑" w:eastAsia="微软雅黑" w:hAnsi="微软雅黑"/>
                <w:color w:val="000000"/>
                <w:kern w:val="0"/>
                <w:sz w:val="24"/>
                <w:szCs w:val="24"/>
              </w:rPr>
            </w:pPr>
            <w:r w:rsidRPr="00173314">
              <w:rPr>
                <w:rFonts w:ascii="微软雅黑" w:eastAsia="微软雅黑" w:hAnsi="微软雅黑"/>
                <w:color w:val="000000"/>
                <w:kern w:val="0"/>
                <w:sz w:val="24"/>
                <w:szCs w:val="24"/>
              </w:rPr>
              <w:t>减：报告期</w:t>
            </w:r>
            <w:r w:rsidR="00A0324E">
              <w:rPr>
                <w:rFonts w:ascii="微软雅黑" w:eastAsia="微软雅黑" w:hAnsi="微软雅黑" w:hint="eastAsia"/>
                <w:color w:val="000000"/>
                <w:kern w:val="0"/>
                <w:sz w:val="24"/>
                <w:szCs w:val="24"/>
              </w:rPr>
              <w:t>产品</w:t>
            </w:r>
            <w:r w:rsidRPr="00173314">
              <w:rPr>
                <w:rFonts w:ascii="微软雅黑" w:eastAsia="微软雅黑" w:hAnsi="微软雅黑"/>
                <w:color w:val="000000"/>
                <w:kern w:val="0"/>
                <w:sz w:val="24"/>
                <w:szCs w:val="24"/>
              </w:rPr>
              <w:t>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8B008B" w:rsidP="00CB1BF3">
            <w:pPr>
              <w:autoSpaceDE w:val="0"/>
              <w:autoSpaceDN w:val="0"/>
              <w:adjustRightInd w:val="0"/>
              <w:spacing w:before="29" w:line="360" w:lineRule="auto"/>
              <w:ind w:left="17"/>
              <w:jc w:val="right"/>
              <w:rPr>
                <w:rFonts w:ascii="微软雅黑" w:eastAsia="微软雅黑" w:hAnsi="微软雅黑"/>
                <w:color w:val="000000"/>
                <w:sz w:val="24"/>
                <w:szCs w:val="24"/>
              </w:rPr>
            </w:pPr>
            <w:r>
              <w:rPr>
                <w:rFonts w:ascii="微软雅黑" w:eastAsia="微软雅黑" w:hAnsi="微软雅黑"/>
                <w:color w:val="000000"/>
                <w:sz w:val="24"/>
                <w:szCs w:val="24"/>
              </w:rPr>
              <w:t>1514423687.47</w:t>
            </w:r>
          </w:p>
        </w:tc>
      </w:tr>
      <w:tr w:rsidR="00750D48" w:rsidRPr="00173314"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750D48" w:rsidP="00CB1BF3">
            <w:pPr>
              <w:autoSpaceDE w:val="0"/>
              <w:autoSpaceDN w:val="0"/>
              <w:adjustRightInd w:val="0"/>
              <w:spacing w:before="29" w:line="360" w:lineRule="auto"/>
              <w:ind w:left="17"/>
              <w:jc w:val="left"/>
              <w:rPr>
                <w:rFonts w:ascii="微软雅黑" w:eastAsia="微软雅黑" w:hAnsi="微软雅黑"/>
                <w:color w:val="000000"/>
                <w:kern w:val="0"/>
                <w:sz w:val="24"/>
                <w:szCs w:val="24"/>
              </w:rPr>
            </w:pPr>
            <w:r w:rsidRPr="00173314">
              <w:rPr>
                <w:rFonts w:ascii="微软雅黑" w:eastAsia="微软雅黑" w:hAnsi="微软雅黑"/>
                <w:color w:val="000000"/>
                <w:kern w:val="0"/>
                <w:sz w:val="24"/>
                <w:szCs w:val="24"/>
              </w:rPr>
              <w:t>报告期期末</w:t>
            </w:r>
            <w:r w:rsidR="00A0324E">
              <w:rPr>
                <w:rFonts w:ascii="微软雅黑" w:eastAsia="微软雅黑" w:hAnsi="微软雅黑" w:hint="eastAsia"/>
                <w:color w:val="000000"/>
                <w:kern w:val="0"/>
                <w:sz w:val="24"/>
                <w:szCs w:val="24"/>
              </w:rPr>
              <w:t>产品</w:t>
            </w:r>
            <w:r w:rsidRPr="00173314">
              <w:rPr>
                <w:rFonts w:ascii="微软雅黑" w:eastAsia="微软雅黑" w:hAnsi="微软雅黑"/>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173314" w:rsidRDefault="00562ACC" w:rsidP="00CB1BF3">
            <w:pPr>
              <w:autoSpaceDE w:val="0"/>
              <w:autoSpaceDN w:val="0"/>
              <w:adjustRightInd w:val="0"/>
              <w:spacing w:before="29" w:line="360" w:lineRule="auto"/>
              <w:ind w:left="17"/>
              <w:jc w:val="right"/>
              <w:rPr>
                <w:rFonts w:ascii="微软雅黑" w:eastAsia="微软雅黑" w:hAnsi="微软雅黑"/>
                <w:color w:val="000000"/>
                <w:sz w:val="24"/>
                <w:szCs w:val="24"/>
              </w:rPr>
            </w:pPr>
            <w:r w:rsidRPr="00FB0C29">
              <w:rPr>
                <w:rFonts w:ascii="微软雅黑" w:eastAsia="微软雅黑" w:hAnsi="微软雅黑"/>
                <w:color w:val="000000"/>
                <w:sz w:val="24"/>
                <w:szCs w:val="24"/>
              </w:rPr>
              <w:t>212651791</w:t>
            </w:r>
            <w:r>
              <w:rPr>
                <w:rFonts w:ascii="微软雅黑" w:eastAsia="微软雅黑" w:hAnsi="微软雅黑"/>
                <w:color w:val="000000"/>
                <w:sz w:val="24"/>
                <w:szCs w:val="24"/>
              </w:rPr>
              <w:t>7.67</w:t>
            </w:r>
          </w:p>
        </w:tc>
      </w:tr>
    </w:tbl>
    <w:p w:rsidR="00AF7531" w:rsidRDefault="00AF7531" w:rsidP="00CB1BF3">
      <w:pPr>
        <w:autoSpaceDE w:val="0"/>
        <w:autoSpaceDN w:val="0"/>
        <w:adjustRightInd w:val="0"/>
        <w:spacing w:line="360" w:lineRule="auto"/>
        <w:jc w:val="left"/>
        <w:rPr>
          <w:rFonts w:ascii="宋体" w:hAnsi="宋体"/>
          <w:bCs/>
          <w:color w:val="000000"/>
          <w:kern w:val="0"/>
          <w:sz w:val="24"/>
          <w:szCs w:val="24"/>
        </w:rPr>
      </w:pPr>
    </w:p>
    <w:p w:rsidR="00BA0A36" w:rsidRPr="00E73F58" w:rsidRDefault="00BA0A36" w:rsidP="00695D6B">
      <w:pPr>
        <w:pStyle w:val="1"/>
        <w:spacing w:beforeLines="100" w:before="312" w:afterLines="100" w:after="312" w:line="360" w:lineRule="auto"/>
        <w:jc w:val="center"/>
        <w:rPr>
          <w:rFonts w:ascii="微软雅黑" w:eastAsia="微软雅黑" w:hAnsi="微软雅黑"/>
          <w:color w:val="000000"/>
          <w:kern w:val="0"/>
          <w:sz w:val="28"/>
          <w:szCs w:val="24"/>
        </w:rPr>
      </w:pPr>
      <w:r w:rsidRPr="004F0699">
        <w:rPr>
          <w:rFonts w:ascii="微软雅黑" w:eastAsia="微软雅黑" w:hAnsi="微软雅黑" w:hint="eastAsia"/>
          <w:color w:val="000000"/>
          <w:kern w:val="0"/>
          <w:sz w:val="28"/>
          <w:szCs w:val="24"/>
        </w:rPr>
        <w:t>§</w:t>
      </w:r>
      <w:r>
        <w:rPr>
          <w:rFonts w:ascii="微软雅黑" w:eastAsia="微软雅黑" w:hAnsi="微软雅黑"/>
          <w:color w:val="000000"/>
          <w:kern w:val="0"/>
          <w:sz w:val="28"/>
          <w:szCs w:val="24"/>
        </w:rPr>
        <w:t>7</w:t>
      </w:r>
      <w:r w:rsidRPr="004F0699">
        <w:rPr>
          <w:rFonts w:ascii="微软雅黑" w:eastAsia="微软雅黑" w:hAnsi="微软雅黑"/>
          <w:color w:val="000000"/>
          <w:kern w:val="0"/>
          <w:sz w:val="28"/>
          <w:szCs w:val="24"/>
        </w:rPr>
        <w:t xml:space="preserve"> </w:t>
      </w:r>
      <w:r>
        <w:rPr>
          <w:rFonts w:ascii="微软雅黑" w:eastAsia="微软雅黑" w:hAnsi="微软雅黑" w:hint="eastAsia"/>
          <w:color w:val="000000"/>
          <w:kern w:val="0"/>
          <w:sz w:val="28"/>
          <w:szCs w:val="24"/>
        </w:rPr>
        <w:t>综述</w:t>
      </w:r>
    </w:p>
    <w:p w:rsidR="005C0848" w:rsidRPr="00BA0A36" w:rsidRDefault="00BA0A36" w:rsidP="00CB1BF3">
      <w:pPr>
        <w:autoSpaceDE w:val="0"/>
        <w:autoSpaceDN w:val="0"/>
        <w:adjustRightInd w:val="0"/>
        <w:spacing w:line="360" w:lineRule="auto"/>
        <w:ind w:firstLineChars="200" w:firstLine="480"/>
        <w:jc w:val="left"/>
        <w:rPr>
          <w:rFonts w:ascii="微软雅黑" w:eastAsia="微软雅黑" w:hAnsi="微软雅黑"/>
          <w:bCs/>
          <w:color w:val="000000"/>
          <w:kern w:val="0"/>
          <w:sz w:val="24"/>
          <w:szCs w:val="24"/>
        </w:rPr>
      </w:pPr>
      <w:r>
        <w:rPr>
          <w:rFonts w:ascii="微软雅黑" w:eastAsia="微软雅黑" w:hAnsi="微软雅黑" w:hint="eastAsia"/>
          <w:bCs/>
          <w:color w:val="000000"/>
          <w:kern w:val="0"/>
          <w:sz w:val="24"/>
          <w:szCs w:val="24"/>
        </w:rPr>
        <w:t>本</w:t>
      </w:r>
      <w:r w:rsidRPr="00BA0A36">
        <w:rPr>
          <w:rFonts w:ascii="微软雅黑" w:eastAsia="微软雅黑" w:hAnsi="微软雅黑" w:hint="eastAsia"/>
          <w:bCs/>
          <w:color w:val="000000"/>
          <w:kern w:val="0"/>
          <w:sz w:val="24"/>
          <w:szCs w:val="24"/>
        </w:rPr>
        <w:t>产品</w:t>
      </w:r>
      <w:r w:rsidRPr="00BA0A36">
        <w:rPr>
          <w:rFonts w:ascii="微软雅黑" w:eastAsia="微软雅黑" w:hAnsi="微软雅黑"/>
          <w:bCs/>
          <w:color w:val="000000"/>
          <w:kern w:val="0"/>
          <w:sz w:val="24"/>
          <w:szCs w:val="24"/>
        </w:rPr>
        <w:t>在</w:t>
      </w:r>
      <w:r w:rsidR="008B008B">
        <w:rPr>
          <w:rFonts w:ascii="微软雅黑" w:eastAsia="微软雅黑" w:hAnsi="微软雅黑" w:hint="eastAsia"/>
          <w:bCs/>
          <w:color w:val="000000"/>
          <w:kern w:val="0"/>
          <w:sz w:val="24"/>
          <w:szCs w:val="24"/>
        </w:rPr>
        <w:t>本年度</w:t>
      </w:r>
      <w:r>
        <w:rPr>
          <w:rFonts w:ascii="微软雅黑" w:eastAsia="微软雅黑" w:hAnsi="微软雅黑"/>
          <w:bCs/>
          <w:color w:val="000000"/>
          <w:kern w:val="0"/>
          <w:sz w:val="24"/>
          <w:szCs w:val="24"/>
        </w:rPr>
        <w:t>坚持</w:t>
      </w:r>
      <w:r w:rsidR="008B008B">
        <w:rPr>
          <w:rFonts w:ascii="微软雅黑" w:eastAsia="微软雅黑" w:hAnsi="微软雅黑" w:hint="eastAsia"/>
          <w:bCs/>
          <w:color w:val="000000"/>
          <w:kern w:val="0"/>
          <w:sz w:val="24"/>
          <w:szCs w:val="24"/>
        </w:rPr>
        <w:t>了</w:t>
      </w:r>
      <w:r>
        <w:rPr>
          <w:rFonts w:ascii="微软雅黑" w:eastAsia="微软雅黑" w:hAnsi="微软雅黑" w:hint="eastAsia"/>
          <w:bCs/>
          <w:color w:val="000000"/>
          <w:kern w:val="0"/>
          <w:sz w:val="24"/>
          <w:szCs w:val="24"/>
        </w:rPr>
        <w:t>平衡</w:t>
      </w:r>
      <w:r>
        <w:rPr>
          <w:rFonts w:ascii="微软雅黑" w:eastAsia="微软雅黑" w:hAnsi="微软雅黑"/>
          <w:bCs/>
          <w:color w:val="000000"/>
          <w:kern w:val="0"/>
          <w:sz w:val="24"/>
          <w:szCs w:val="24"/>
        </w:rPr>
        <w:t>稳健的投资策略，</w:t>
      </w:r>
      <w:r>
        <w:rPr>
          <w:rFonts w:ascii="微软雅黑" w:eastAsia="微软雅黑" w:hAnsi="微软雅黑" w:hint="eastAsia"/>
          <w:bCs/>
          <w:color w:val="000000"/>
          <w:kern w:val="0"/>
          <w:sz w:val="24"/>
          <w:szCs w:val="24"/>
        </w:rPr>
        <w:t>通过</w:t>
      </w:r>
      <w:r w:rsidR="00B26562">
        <w:rPr>
          <w:rFonts w:ascii="微软雅黑" w:eastAsia="微软雅黑" w:hAnsi="微软雅黑"/>
          <w:bCs/>
          <w:color w:val="000000"/>
          <w:kern w:val="0"/>
          <w:sz w:val="24"/>
          <w:szCs w:val="24"/>
        </w:rPr>
        <w:t>各类资产的均衡配置实现</w:t>
      </w:r>
      <w:r w:rsidR="00302651">
        <w:rPr>
          <w:rFonts w:ascii="微软雅黑" w:eastAsia="微软雅黑" w:hAnsi="微软雅黑" w:hint="eastAsia"/>
          <w:bCs/>
          <w:color w:val="000000"/>
          <w:kern w:val="0"/>
          <w:sz w:val="24"/>
          <w:szCs w:val="24"/>
        </w:rPr>
        <w:t>投资目标</w:t>
      </w:r>
      <w:r>
        <w:rPr>
          <w:rFonts w:ascii="微软雅黑" w:eastAsia="微软雅黑" w:hAnsi="微软雅黑"/>
          <w:bCs/>
          <w:color w:val="000000"/>
          <w:kern w:val="0"/>
          <w:sz w:val="24"/>
          <w:szCs w:val="24"/>
        </w:rPr>
        <w:t>。</w:t>
      </w:r>
      <w:r w:rsidR="00B26562">
        <w:rPr>
          <w:rFonts w:ascii="微软雅黑" w:eastAsia="微软雅黑" w:hAnsi="微软雅黑" w:hint="eastAsia"/>
          <w:bCs/>
          <w:color w:val="000000"/>
          <w:kern w:val="0"/>
          <w:sz w:val="24"/>
          <w:szCs w:val="24"/>
        </w:rPr>
        <w:t>下阶段我们将在</w:t>
      </w:r>
      <w:r w:rsidR="00B26562">
        <w:rPr>
          <w:rFonts w:ascii="微软雅黑" w:eastAsia="微软雅黑" w:hAnsi="微软雅黑"/>
          <w:bCs/>
          <w:color w:val="000000"/>
          <w:kern w:val="0"/>
          <w:sz w:val="24"/>
          <w:szCs w:val="24"/>
        </w:rPr>
        <w:t>目前基础上进一步优化资产结构</w:t>
      </w:r>
      <w:r w:rsidR="00B26562">
        <w:rPr>
          <w:rFonts w:ascii="微软雅黑" w:eastAsia="微软雅黑" w:hAnsi="微软雅黑" w:hint="eastAsia"/>
          <w:bCs/>
          <w:color w:val="000000"/>
          <w:kern w:val="0"/>
          <w:sz w:val="24"/>
          <w:szCs w:val="24"/>
        </w:rPr>
        <w:t>，</w:t>
      </w:r>
      <w:r w:rsidR="00B26562" w:rsidRPr="00B26562">
        <w:rPr>
          <w:rFonts w:ascii="微软雅黑" w:eastAsia="微软雅黑" w:hAnsi="微软雅黑" w:hint="eastAsia"/>
          <w:bCs/>
          <w:color w:val="000000"/>
          <w:kern w:val="0"/>
          <w:sz w:val="24"/>
          <w:szCs w:val="24"/>
        </w:rPr>
        <w:t>继续优选优质</w:t>
      </w:r>
      <w:r w:rsidR="00B26562">
        <w:rPr>
          <w:rFonts w:ascii="微软雅黑" w:eastAsia="微软雅黑" w:hAnsi="微软雅黑" w:hint="eastAsia"/>
          <w:bCs/>
          <w:color w:val="000000"/>
          <w:kern w:val="0"/>
          <w:sz w:val="24"/>
          <w:szCs w:val="24"/>
        </w:rPr>
        <w:t>资产，把握</w:t>
      </w:r>
      <w:r w:rsidR="008B008B">
        <w:rPr>
          <w:rFonts w:ascii="微软雅黑" w:eastAsia="微软雅黑" w:hAnsi="微软雅黑" w:hint="eastAsia"/>
          <w:bCs/>
          <w:color w:val="000000"/>
          <w:kern w:val="0"/>
          <w:sz w:val="24"/>
          <w:szCs w:val="24"/>
        </w:rPr>
        <w:t>2</w:t>
      </w:r>
      <w:r w:rsidR="008B008B">
        <w:rPr>
          <w:rFonts w:ascii="微软雅黑" w:eastAsia="微软雅黑" w:hAnsi="微软雅黑"/>
          <w:bCs/>
          <w:color w:val="000000"/>
          <w:kern w:val="0"/>
          <w:sz w:val="24"/>
          <w:szCs w:val="24"/>
        </w:rPr>
        <w:t>018</w:t>
      </w:r>
      <w:r w:rsidR="00B26562" w:rsidRPr="00B26562">
        <w:rPr>
          <w:rFonts w:ascii="微软雅黑" w:eastAsia="微软雅黑" w:hAnsi="微软雅黑" w:hint="eastAsia"/>
          <w:bCs/>
          <w:color w:val="000000"/>
          <w:kern w:val="0"/>
          <w:sz w:val="24"/>
          <w:szCs w:val="24"/>
        </w:rPr>
        <w:t>年的投资</w:t>
      </w:r>
      <w:r w:rsidR="00F91439">
        <w:rPr>
          <w:rFonts w:ascii="微软雅黑" w:eastAsia="微软雅黑" w:hAnsi="微软雅黑" w:hint="eastAsia"/>
          <w:bCs/>
          <w:color w:val="000000"/>
          <w:kern w:val="0"/>
          <w:sz w:val="24"/>
          <w:szCs w:val="24"/>
        </w:rPr>
        <w:t>交易</w:t>
      </w:r>
      <w:r w:rsidR="00B26562" w:rsidRPr="00B26562">
        <w:rPr>
          <w:rFonts w:ascii="微软雅黑" w:eastAsia="微软雅黑" w:hAnsi="微软雅黑" w:hint="eastAsia"/>
          <w:bCs/>
          <w:color w:val="000000"/>
          <w:kern w:val="0"/>
          <w:sz w:val="24"/>
          <w:szCs w:val="24"/>
        </w:rPr>
        <w:t>机会</w:t>
      </w:r>
      <w:r w:rsidR="00F91439">
        <w:rPr>
          <w:rFonts w:ascii="微软雅黑" w:eastAsia="微软雅黑" w:hAnsi="微软雅黑" w:hint="eastAsia"/>
          <w:bCs/>
          <w:color w:val="000000"/>
          <w:kern w:val="0"/>
          <w:sz w:val="24"/>
          <w:szCs w:val="24"/>
        </w:rPr>
        <w:t>。</w:t>
      </w:r>
    </w:p>
    <w:p w:rsidR="006B63D8" w:rsidRDefault="00AF7531" w:rsidP="00CB1BF3">
      <w:pPr>
        <w:autoSpaceDE w:val="0"/>
        <w:autoSpaceDN w:val="0"/>
        <w:adjustRightInd w:val="0"/>
        <w:spacing w:line="360" w:lineRule="auto"/>
        <w:ind w:firstLineChars="200" w:firstLine="480"/>
        <w:jc w:val="left"/>
        <w:rPr>
          <w:rFonts w:ascii="微软雅黑" w:eastAsia="微软雅黑" w:hAnsi="微软雅黑"/>
          <w:bCs/>
          <w:color w:val="000000"/>
          <w:kern w:val="0"/>
          <w:sz w:val="24"/>
          <w:szCs w:val="24"/>
        </w:rPr>
      </w:pPr>
      <w:r w:rsidRPr="004F0699">
        <w:rPr>
          <w:rFonts w:ascii="微软雅黑" w:eastAsia="微软雅黑" w:hAnsi="微软雅黑" w:hint="eastAsia"/>
          <w:bCs/>
          <w:color w:val="000000"/>
          <w:kern w:val="0"/>
          <w:sz w:val="24"/>
          <w:szCs w:val="24"/>
        </w:rPr>
        <w:t>感谢您对于平安银行理财产品的支持与厚爱</w:t>
      </w:r>
      <w:r w:rsidR="00173314">
        <w:rPr>
          <w:rFonts w:ascii="微软雅黑" w:eastAsia="微软雅黑" w:hAnsi="微软雅黑" w:hint="eastAsia"/>
          <w:bCs/>
          <w:color w:val="000000"/>
          <w:kern w:val="0"/>
          <w:sz w:val="24"/>
          <w:szCs w:val="24"/>
        </w:rPr>
        <w:t>！</w:t>
      </w:r>
    </w:p>
    <w:p w:rsidR="00CD2923" w:rsidRDefault="00AF7531" w:rsidP="00CB1BF3">
      <w:pPr>
        <w:autoSpaceDE w:val="0"/>
        <w:autoSpaceDN w:val="0"/>
        <w:adjustRightInd w:val="0"/>
        <w:spacing w:line="360" w:lineRule="auto"/>
        <w:jc w:val="right"/>
        <w:rPr>
          <w:rFonts w:ascii="微软雅黑" w:eastAsia="微软雅黑" w:hAnsi="微软雅黑"/>
          <w:bCs/>
          <w:color w:val="000000"/>
          <w:kern w:val="0"/>
          <w:sz w:val="24"/>
          <w:szCs w:val="24"/>
        </w:rPr>
      </w:pPr>
      <w:r w:rsidRPr="004F0699">
        <w:rPr>
          <w:rFonts w:ascii="微软雅黑" w:eastAsia="微软雅黑" w:hAnsi="微软雅黑" w:hint="eastAsia"/>
          <w:bCs/>
          <w:color w:val="000000"/>
          <w:kern w:val="0"/>
          <w:sz w:val="24"/>
          <w:szCs w:val="24"/>
        </w:rPr>
        <w:t>平安银行股份有限公司</w:t>
      </w:r>
    </w:p>
    <w:p w:rsidR="00F91439" w:rsidRPr="004F0699" w:rsidRDefault="00F91439" w:rsidP="00CB1BF3">
      <w:pPr>
        <w:autoSpaceDE w:val="0"/>
        <w:autoSpaceDN w:val="0"/>
        <w:adjustRightInd w:val="0"/>
        <w:spacing w:line="360" w:lineRule="auto"/>
        <w:jc w:val="right"/>
        <w:rPr>
          <w:rFonts w:ascii="微软雅黑" w:eastAsia="微软雅黑" w:hAnsi="微软雅黑"/>
          <w:bCs/>
          <w:color w:val="000000"/>
          <w:kern w:val="0"/>
          <w:sz w:val="24"/>
          <w:szCs w:val="24"/>
        </w:rPr>
      </w:pPr>
      <w:r>
        <w:rPr>
          <w:rFonts w:ascii="微软雅黑" w:eastAsia="微软雅黑" w:hAnsi="微软雅黑" w:hint="eastAsia"/>
          <w:bCs/>
          <w:color w:val="000000"/>
          <w:kern w:val="0"/>
          <w:sz w:val="24"/>
          <w:szCs w:val="24"/>
        </w:rPr>
        <w:t>2017年</w:t>
      </w:r>
      <w:r w:rsidR="008B008B">
        <w:rPr>
          <w:rFonts w:ascii="微软雅黑" w:eastAsia="微软雅黑" w:hAnsi="微软雅黑"/>
          <w:bCs/>
          <w:color w:val="000000"/>
          <w:kern w:val="0"/>
          <w:sz w:val="24"/>
          <w:szCs w:val="24"/>
        </w:rPr>
        <w:t>12</w:t>
      </w:r>
      <w:r>
        <w:rPr>
          <w:rFonts w:ascii="微软雅黑" w:eastAsia="微软雅黑" w:hAnsi="微软雅黑" w:hint="eastAsia"/>
          <w:bCs/>
          <w:color w:val="000000"/>
          <w:kern w:val="0"/>
          <w:sz w:val="24"/>
          <w:szCs w:val="24"/>
        </w:rPr>
        <w:t>月3</w:t>
      </w:r>
      <w:r w:rsidR="008B008B">
        <w:rPr>
          <w:rFonts w:ascii="微软雅黑" w:eastAsia="微软雅黑" w:hAnsi="微软雅黑"/>
          <w:bCs/>
          <w:color w:val="000000"/>
          <w:kern w:val="0"/>
          <w:sz w:val="24"/>
          <w:szCs w:val="24"/>
        </w:rPr>
        <w:t>1</w:t>
      </w:r>
      <w:r>
        <w:rPr>
          <w:rFonts w:ascii="微软雅黑" w:eastAsia="微软雅黑" w:hAnsi="微软雅黑" w:hint="eastAsia"/>
          <w:bCs/>
          <w:color w:val="000000"/>
          <w:kern w:val="0"/>
          <w:sz w:val="24"/>
          <w:szCs w:val="24"/>
        </w:rPr>
        <w:t>日</w:t>
      </w:r>
    </w:p>
    <w:sectPr w:rsidR="00F91439" w:rsidRPr="004F0699" w:rsidSect="00304A12">
      <w:footerReference w:type="default" r:id="rId15"/>
      <w:pgSz w:w="11906" w:h="16838" w:code="9"/>
      <w:pgMar w:top="1440" w:right="1797" w:bottom="1440"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13" w:rsidRDefault="00552813" w:rsidP="00876D65">
      <w:r>
        <w:separator/>
      </w:r>
    </w:p>
  </w:endnote>
  <w:endnote w:type="continuationSeparator" w:id="0">
    <w:p w:rsidR="00552813" w:rsidRDefault="0055281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B5" w:rsidRDefault="00EF56B5" w:rsidP="00EF56B5">
    <w:pPr>
      <w:pStyle w:val="a6"/>
      <w:framePr w:wrap="auto" w:vAnchor="text" w:hAnchor="margin" w:xAlign="center" w:y="1"/>
      <w:rPr>
        <w:rStyle w:val="a7"/>
      </w:rPr>
    </w:pPr>
    <w:r>
      <w:rPr>
        <w:rStyle w:val="a7"/>
        <w:rFonts w:hint="eastAsia"/>
      </w:rPr>
      <w:t>第</w:t>
    </w:r>
    <w:r w:rsidR="008511F6">
      <w:rPr>
        <w:rStyle w:val="a7"/>
      </w:rPr>
      <w:fldChar w:fldCharType="begin"/>
    </w:r>
    <w:r>
      <w:rPr>
        <w:rStyle w:val="a7"/>
      </w:rPr>
      <w:instrText xml:space="preserve">PAGE  </w:instrText>
    </w:r>
    <w:r w:rsidR="008511F6">
      <w:rPr>
        <w:rStyle w:val="a7"/>
      </w:rPr>
      <w:fldChar w:fldCharType="separate"/>
    </w:r>
    <w:r w:rsidR="00FE743C">
      <w:rPr>
        <w:rStyle w:val="a7"/>
        <w:noProof/>
      </w:rPr>
      <w:t>1</w:t>
    </w:r>
    <w:r w:rsidR="008511F6">
      <w:rPr>
        <w:rStyle w:val="a7"/>
      </w:rPr>
      <w:fldChar w:fldCharType="end"/>
    </w:r>
    <w:r>
      <w:rPr>
        <w:rStyle w:val="a7"/>
        <w:rFonts w:hint="eastAsia"/>
      </w:rPr>
      <w:t>页共</w:t>
    </w:r>
    <w:fldSimple w:instr=" NUMPAGES  \* Arabic  \* MERGEFORMAT ">
      <w:r w:rsidR="00FE743C" w:rsidRPr="00FE743C">
        <w:rPr>
          <w:rStyle w:val="a7"/>
          <w:noProof/>
        </w:rPr>
        <w:t>9</w:t>
      </w:r>
    </w:fldSimple>
    <w:r>
      <w:rPr>
        <w:rStyle w:val="a7"/>
        <w:rFonts w:hint="eastAsia"/>
      </w:rPr>
      <w:t>页</w:t>
    </w:r>
  </w:p>
  <w:p w:rsidR="00750D48" w:rsidRPr="00EF56B5" w:rsidRDefault="00750D48" w:rsidP="00EF56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48" w:rsidRDefault="00EF56B5">
    <w:pPr>
      <w:pStyle w:val="a6"/>
      <w:framePr w:wrap="auto" w:vAnchor="text" w:hAnchor="margin" w:xAlign="center" w:y="1"/>
      <w:rPr>
        <w:rStyle w:val="a7"/>
      </w:rPr>
    </w:pPr>
    <w:r>
      <w:rPr>
        <w:rStyle w:val="a7"/>
        <w:rFonts w:hint="eastAsia"/>
      </w:rPr>
      <w:t>第</w:t>
    </w:r>
    <w:r w:rsidR="008511F6">
      <w:rPr>
        <w:rStyle w:val="a7"/>
      </w:rPr>
      <w:fldChar w:fldCharType="begin"/>
    </w:r>
    <w:r>
      <w:rPr>
        <w:rStyle w:val="a7"/>
      </w:rPr>
      <w:instrText xml:space="preserve">PAGE  </w:instrText>
    </w:r>
    <w:r w:rsidR="008511F6">
      <w:rPr>
        <w:rStyle w:val="a7"/>
      </w:rPr>
      <w:fldChar w:fldCharType="separate"/>
    </w:r>
    <w:r w:rsidR="00FE743C">
      <w:rPr>
        <w:rStyle w:val="a7"/>
        <w:noProof/>
      </w:rPr>
      <w:t>7</w:t>
    </w:r>
    <w:r w:rsidR="008511F6">
      <w:rPr>
        <w:rStyle w:val="a7"/>
      </w:rPr>
      <w:fldChar w:fldCharType="end"/>
    </w:r>
    <w:r>
      <w:rPr>
        <w:rStyle w:val="a7"/>
        <w:rFonts w:hint="eastAsia"/>
      </w:rPr>
      <w:t>页共</w:t>
    </w:r>
    <w:r w:rsidR="00552813">
      <w:fldChar w:fldCharType="begin"/>
    </w:r>
    <w:r w:rsidR="00552813">
      <w:instrText xml:space="preserve"> NUMPAGES  \* Arabic  \* MERGEFORMAT </w:instrText>
    </w:r>
    <w:r w:rsidR="00552813">
      <w:fldChar w:fldCharType="separate"/>
    </w:r>
    <w:r w:rsidR="00FE743C" w:rsidRPr="00FE743C">
      <w:rPr>
        <w:rStyle w:val="a7"/>
        <w:noProof/>
      </w:rPr>
      <w:t>9</w:t>
    </w:r>
    <w:r w:rsidR="00552813">
      <w:rPr>
        <w:rStyle w:val="a7"/>
        <w:noProof/>
      </w:rPr>
      <w:fldChar w:fldCharType="end"/>
    </w:r>
    <w:r>
      <w:rPr>
        <w:rStyle w:val="a7"/>
        <w:rFonts w:hint="eastAsia"/>
      </w:rPr>
      <w:t>页</w:t>
    </w:r>
  </w:p>
  <w:p w:rsidR="00750D48" w:rsidRDefault="00750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13" w:rsidRDefault="00552813" w:rsidP="00876D65">
      <w:r>
        <w:separator/>
      </w:r>
    </w:p>
  </w:footnote>
  <w:footnote w:type="continuationSeparator" w:id="0">
    <w:p w:rsidR="00552813" w:rsidRDefault="00552813"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48" w:rsidRPr="00093704" w:rsidRDefault="004D62C0" w:rsidP="004D62C0">
    <w:pPr>
      <w:pStyle w:val="a9"/>
      <w:pBdr>
        <w:bottom w:val="single" w:sz="6" w:space="0" w:color="auto"/>
      </w:pBdr>
      <w:jc w:val="right"/>
    </w:pPr>
    <w:r>
      <w:rPr>
        <w:rFonts w:hint="eastAsia"/>
      </w:rPr>
      <w:t>平安财富</w:t>
    </w:r>
    <w:r>
      <w:rPr>
        <w:rFonts w:hint="eastAsia"/>
      </w:rPr>
      <w:t>-</w:t>
    </w:r>
    <w:r>
      <w:rPr>
        <w:rFonts w:hint="eastAsia"/>
      </w:rPr>
      <w:t>养老系列</w:t>
    </w:r>
    <w:r>
      <w:rPr>
        <w:rFonts w:hint="eastAsia"/>
      </w:rPr>
      <w:t>A</w:t>
    </w:r>
    <w:r>
      <w:rPr>
        <w:rFonts w:hint="eastAsia"/>
      </w:rPr>
      <w:t>款无忧人生（灵活配置型）人民币理财产品</w:t>
    </w:r>
    <w:r>
      <w:rPr>
        <w:rFonts w:hint="eastAsia"/>
      </w:rPr>
      <w:t>2017</w:t>
    </w:r>
    <w:r>
      <w:rPr>
        <w:rFonts w:hint="eastAsia"/>
      </w:rPr>
      <w:t>年</w:t>
    </w:r>
    <w:r w:rsidR="00605F2F">
      <w:rPr>
        <w:rFonts w:hint="eastAsia"/>
      </w:rPr>
      <w:t>半年度</w:t>
    </w:r>
    <w:r>
      <w:rPr>
        <w:rFonts w:hint="eastAsia"/>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1">
    <w:nsid w:val="402D4E17"/>
    <w:multiLevelType w:val="hybridMultilevel"/>
    <w:tmpl w:val="144C11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szCs w:val="24"/>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061AC"/>
    <w:rsid w:val="00014099"/>
    <w:rsid w:val="00014D49"/>
    <w:rsid w:val="000160C5"/>
    <w:rsid w:val="000210E7"/>
    <w:rsid w:val="00031EBB"/>
    <w:rsid w:val="00033863"/>
    <w:rsid w:val="00033B8D"/>
    <w:rsid w:val="00043852"/>
    <w:rsid w:val="000450DD"/>
    <w:rsid w:val="00045F64"/>
    <w:rsid w:val="000463DE"/>
    <w:rsid w:val="00046D10"/>
    <w:rsid w:val="000553BD"/>
    <w:rsid w:val="0008313A"/>
    <w:rsid w:val="000907D2"/>
    <w:rsid w:val="00090A26"/>
    <w:rsid w:val="00093704"/>
    <w:rsid w:val="00094950"/>
    <w:rsid w:val="000957F2"/>
    <w:rsid w:val="00095F2A"/>
    <w:rsid w:val="000A18A8"/>
    <w:rsid w:val="000A2B53"/>
    <w:rsid w:val="000B624F"/>
    <w:rsid w:val="000B73C6"/>
    <w:rsid w:val="000C190B"/>
    <w:rsid w:val="000C1E17"/>
    <w:rsid w:val="000C3852"/>
    <w:rsid w:val="000C493C"/>
    <w:rsid w:val="000C5216"/>
    <w:rsid w:val="000D0E6C"/>
    <w:rsid w:val="000D3ED4"/>
    <w:rsid w:val="000E0577"/>
    <w:rsid w:val="000E348F"/>
    <w:rsid w:val="000F2DE1"/>
    <w:rsid w:val="000F6CC8"/>
    <w:rsid w:val="00111261"/>
    <w:rsid w:val="00137452"/>
    <w:rsid w:val="00142CAF"/>
    <w:rsid w:val="00144F93"/>
    <w:rsid w:val="00147376"/>
    <w:rsid w:val="00150E7E"/>
    <w:rsid w:val="00154BE1"/>
    <w:rsid w:val="00154C17"/>
    <w:rsid w:val="00160EDC"/>
    <w:rsid w:val="0016180A"/>
    <w:rsid w:val="001675CD"/>
    <w:rsid w:val="00171EF0"/>
    <w:rsid w:val="0017219A"/>
    <w:rsid w:val="00173314"/>
    <w:rsid w:val="001761D2"/>
    <w:rsid w:val="001830D7"/>
    <w:rsid w:val="00185A34"/>
    <w:rsid w:val="001878B0"/>
    <w:rsid w:val="0019049E"/>
    <w:rsid w:val="00191BDE"/>
    <w:rsid w:val="00196E6C"/>
    <w:rsid w:val="001A73E8"/>
    <w:rsid w:val="001B0A62"/>
    <w:rsid w:val="001B2F35"/>
    <w:rsid w:val="001B3C1C"/>
    <w:rsid w:val="001B6E7E"/>
    <w:rsid w:val="001C0993"/>
    <w:rsid w:val="001C79F2"/>
    <w:rsid w:val="001C7E00"/>
    <w:rsid w:val="001D0DB0"/>
    <w:rsid w:val="001D4EF0"/>
    <w:rsid w:val="001D63BB"/>
    <w:rsid w:val="001D6A4B"/>
    <w:rsid w:val="001D74DB"/>
    <w:rsid w:val="001E4630"/>
    <w:rsid w:val="001F0964"/>
    <w:rsid w:val="001F0EB2"/>
    <w:rsid w:val="001F30DA"/>
    <w:rsid w:val="001F5DC5"/>
    <w:rsid w:val="00200FAB"/>
    <w:rsid w:val="0020482C"/>
    <w:rsid w:val="00213821"/>
    <w:rsid w:val="00217B92"/>
    <w:rsid w:val="002279D3"/>
    <w:rsid w:val="00232B03"/>
    <w:rsid w:val="00240248"/>
    <w:rsid w:val="0024363B"/>
    <w:rsid w:val="00243DC5"/>
    <w:rsid w:val="00261111"/>
    <w:rsid w:val="00264E55"/>
    <w:rsid w:val="002661ED"/>
    <w:rsid w:val="00275745"/>
    <w:rsid w:val="0027688F"/>
    <w:rsid w:val="00276E44"/>
    <w:rsid w:val="00280C9F"/>
    <w:rsid w:val="00284CA6"/>
    <w:rsid w:val="00286BEF"/>
    <w:rsid w:val="00286FA2"/>
    <w:rsid w:val="002918E3"/>
    <w:rsid w:val="002973A9"/>
    <w:rsid w:val="002A0B34"/>
    <w:rsid w:val="002B1D1A"/>
    <w:rsid w:val="002C28F2"/>
    <w:rsid w:val="002C5960"/>
    <w:rsid w:val="002D6FB6"/>
    <w:rsid w:val="002E3B09"/>
    <w:rsid w:val="002E52B3"/>
    <w:rsid w:val="00302651"/>
    <w:rsid w:val="00303679"/>
    <w:rsid w:val="00304A12"/>
    <w:rsid w:val="00305636"/>
    <w:rsid w:val="00311662"/>
    <w:rsid w:val="00312A9F"/>
    <w:rsid w:val="00315D5D"/>
    <w:rsid w:val="00316484"/>
    <w:rsid w:val="00316E01"/>
    <w:rsid w:val="00320300"/>
    <w:rsid w:val="00324508"/>
    <w:rsid w:val="003259C8"/>
    <w:rsid w:val="0032741D"/>
    <w:rsid w:val="003307FE"/>
    <w:rsid w:val="00342369"/>
    <w:rsid w:val="003470E2"/>
    <w:rsid w:val="00352719"/>
    <w:rsid w:val="00355364"/>
    <w:rsid w:val="00364CCB"/>
    <w:rsid w:val="00384E6B"/>
    <w:rsid w:val="0039085F"/>
    <w:rsid w:val="00394069"/>
    <w:rsid w:val="003A5423"/>
    <w:rsid w:val="003A6061"/>
    <w:rsid w:val="003B3CAA"/>
    <w:rsid w:val="003B6FBC"/>
    <w:rsid w:val="003E62FB"/>
    <w:rsid w:val="003F39DF"/>
    <w:rsid w:val="003F63BE"/>
    <w:rsid w:val="00403A06"/>
    <w:rsid w:val="004061AC"/>
    <w:rsid w:val="00410AD7"/>
    <w:rsid w:val="004149AC"/>
    <w:rsid w:val="00415AEF"/>
    <w:rsid w:val="0042009D"/>
    <w:rsid w:val="00427F58"/>
    <w:rsid w:val="00433805"/>
    <w:rsid w:val="00466850"/>
    <w:rsid w:val="00467048"/>
    <w:rsid w:val="00471408"/>
    <w:rsid w:val="0047540A"/>
    <w:rsid w:val="004858E0"/>
    <w:rsid w:val="00490644"/>
    <w:rsid w:val="00490CB5"/>
    <w:rsid w:val="004934E9"/>
    <w:rsid w:val="004943C2"/>
    <w:rsid w:val="004A11A7"/>
    <w:rsid w:val="004A4D5B"/>
    <w:rsid w:val="004B5343"/>
    <w:rsid w:val="004C702F"/>
    <w:rsid w:val="004D28A3"/>
    <w:rsid w:val="004D495A"/>
    <w:rsid w:val="004D62C0"/>
    <w:rsid w:val="004D75CD"/>
    <w:rsid w:val="004E5975"/>
    <w:rsid w:val="004E790A"/>
    <w:rsid w:val="004F04C1"/>
    <w:rsid w:val="004F0699"/>
    <w:rsid w:val="004F50FD"/>
    <w:rsid w:val="00500A03"/>
    <w:rsid w:val="00501495"/>
    <w:rsid w:val="00507F99"/>
    <w:rsid w:val="00512200"/>
    <w:rsid w:val="005143CD"/>
    <w:rsid w:val="005144F2"/>
    <w:rsid w:val="005242A5"/>
    <w:rsid w:val="005249DD"/>
    <w:rsid w:val="00531BA5"/>
    <w:rsid w:val="00531F10"/>
    <w:rsid w:val="00532E86"/>
    <w:rsid w:val="00540B13"/>
    <w:rsid w:val="00542434"/>
    <w:rsid w:val="00542470"/>
    <w:rsid w:val="00542546"/>
    <w:rsid w:val="005454FB"/>
    <w:rsid w:val="0055248E"/>
    <w:rsid w:val="00552813"/>
    <w:rsid w:val="005602F3"/>
    <w:rsid w:val="00562ACC"/>
    <w:rsid w:val="005659E4"/>
    <w:rsid w:val="00571097"/>
    <w:rsid w:val="005761EE"/>
    <w:rsid w:val="00582D99"/>
    <w:rsid w:val="0058551C"/>
    <w:rsid w:val="00590656"/>
    <w:rsid w:val="0059076B"/>
    <w:rsid w:val="00593A75"/>
    <w:rsid w:val="00597E49"/>
    <w:rsid w:val="005A0F1F"/>
    <w:rsid w:val="005A2B83"/>
    <w:rsid w:val="005A478E"/>
    <w:rsid w:val="005A6675"/>
    <w:rsid w:val="005B2E9C"/>
    <w:rsid w:val="005B4F93"/>
    <w:rsid w:val="005B73D2"/>
    <w:rsid w:val="005C0848"/>
    <w:rsid w:val="005C5E5B"/>
    <w:rsid w:val="005D2B36"/>
    <w:rsid w:val="005E1093"/>
    <w:rsid w:val="005E475E"/>
    <w:rsid w:val="005F3996"/>
    <w:rsid w:val="005F6AF6"/>
    <w:rsid w:val="005F7730"/>
    <w:rsid w:val="005F7917"/>
    <w:rsid w:val="005F7E00"/>
    <w:rsid w:val="00604C26"/>
    <w:rsid w:val="00605F2F"/>
    <w:rsid w:val="006066D2"/>
    <w:rsid w:val="0061286A"/>
    <w:rsid w:val="00613D7A"/>
    <w:rsid w:val="00614CC4"/>
    <w:rsid w:val="00616CBE"/>
    <w:rsid w:val="0062025E"/>
    <w:rsid w:val="00626998"/>
    <w:rsid w:val="006269FB"/>
    <w:rsid w:val="00631ED8"/>
    <w:rsid w:val="00633B19"/>
    <w:rsid w:val="00634EDE"/>
    <w:rsid w:val="00636DB7"/>
    <w:rsid w:val="0063783A"/>
    <w:rsid w:val="006423B9"/>
    <w:rsid w:val="006506DF"/>
    <w:rsid w:val="00654B0D"/>
    <w:rsid w:val="00655CD8"/>
    <w:rsid w:val="006571DC"/>
    <w:rsid w:val="00660D4B"/>
    <w:rsid w:val="00664ECC"/>
    <w:rsid w:val="00670989"/>
    <w:rsid w:val="006757DC"/>
    <w:rsid w:val="00676095"/>
    <w:rsid w:val="006926A7"/>
    <w:rsid w:val="00693843"/>
    <w:rsid w:val="0069426C"/>
    <w:rsid w:val="00694DFB"/>
    <w:rsid w:val="00695D6B"/>
    <w:rsid w:val="006A1C62"/>
    <w:rsid w:val="006A48FD"/>
    <w:rsid w:val="006A67F8"/>
    <w:rsid w:val="006A7AF1"/>
    <w:rsid w:val="006B11BB"/>
    <w:rsid w:val="006B4C11"/>
    <w:rsid w:val="006B63D8"/>
    <w:rsid w:val="006C12B8"/>
    <w:rsid w:val="006C37FC"/>
    <w:rsid w:val="006C56AA"/>
    <w:rsid w:val="006C7EA3"/>
    <w:rsid w:val="006D39E9"/>
    <w:rsid w:val="006D3BE3"/>
    <w:rsid w:val="006D7004"/>
    <w:rsid w:val="006D789D"/>
    <w:rsid w:val="006D7FF8"/>
    <w:rsid w:val="006E042A"/>
    <w:rsid w:val="006E322B"/>
    <w:rsid w:val="006F5E68"/>
    <w:rsid w:val="007053C9"/>
    <w:rsid w:val="00706D60"/>
    <w:rsid w:val="007075E3"/>
    <w:rsid w:val="00707F66"/>
    <w:rsid w:val="00720D28"/>
    <w:rsid w:val="00722509"/>
    <w:rsid w:val="00727FCD"/>
    <w:rsid w:val="007314C7"/>
    <w:rsid w:val="00733DDD"/>
    <w:rsid w:val="0074694E"/>
    <w:rsid w:val="00750CDF"/>
    <w:rsid w:val="00750D48"/>
    <w:rsid w:val="00752BA5"/>
    <w:rsid w:val="00755D86"/>
    <w:rsid w:val="00767C98"/>
    <w:rsid w:val="00770971"/>
    <w:rsid w:val="00780186"/>
    <w:rsid w:val="0078089C"/>
    <w:rsid w:val="00780D12"/>
    <w:rsid w:val="00787D16"/>
    <w:rsid w:val="00796CA8"/>
    <w:rsid w:val="00797305"/>
    <w:rsid w:val="007A78EF"/>
    <w:rsid w:val="007B0200"/>
    <w:rsid w:val="007B035B"/>
    <w:rsid w:val="007B4C04"/>
    <w:rsid w:val="007B5AFB"/>
    <w:rsid w:val="007C54B1"/>
    <w:rsid w:val="007C5862"/>
    <w:rsid w:val="007F31E6"/>
    <w:rsid w:val="008014F9"/>
    <w:rsid w:val="0080358B"/>
    <w:rsid w:val="008059BD"/>
    <w:rsid w:val="00812D46"/>
    <w:rsid w:val="00815999"/>
    <w:rsid w:val="00815A38"/>
    <w:rsid w:val="0082103F"/>
    <w:rsid w:val="008279FE"/>
    <w:rsid w:val="00831259"/>
    <w:rsid w:val="0083208A"/>
    <w:rsid w:val="0083218A"/>
    <w:rsid w:val="00832A00"/>
    <w:rsid w:val="00837845"/>
    <w:rsid w:val="008442C4"/>
    <w:rsid w:val="00846739"/>
    <w:rsid w:val="008511F6"/>
    <w:rsid w:val="00853140"/>
    <w:rsid w:val="00854537"/>
    <w:rsid w:val="0085562B"/>
    <w:rsid w:val="008606B6"/>
    <w:rsid w:val="00862229"/>
    <w:rsid w:val="008635E6"/>
    <w:rsid w:val="00866CF2"/>
    <w:rsid w:val="008700EC"/>
    <w:rsid w:val="00875EF7"/>
    <w:rsid w:val="00876D65"/>
    <w:rsid w:val="00891261"/>
    <w:rsid w:val="00895A8A"/>
    <w:rsid w:val="008A21B2"/>
    <w:rsid w:val="008B008B"/>
    <w:rsid w:val="008B2FDD"/>
    <w:rsid w:val="008C2A4F"/>
    <w:rsid w:val="008C75E7"/>
    <w:rsid w:val="008C7CA8"/>
    <w:rsid w:val="008D09EC"/>
    <w:rsid w:val="008D34D8"/>
    <w:rsid w:val="008D799F"/>
    <w:rsid w:val="008E07EB"/>
    <w:rsid w:val="008E2DCB"/>
    <w:rsid w:val="008E326D"/>
    <w:rsid w:val="008F5A8D"/>
    <w:rsid w:val="008F5F67"/>
    <w:rsid w:val="008F60F2"/>
    <w:rsid w:val="0090217D"/>
    <w:rsid w:val="00904833"/>
    <w:rsid w:val="00905C5E"/>
    <w:rsid w:val="009078DC"/>
    <w:rsid w:val="00921AC7"/>
    <w:rsid w:val="00922880"/>
    <w:rsid w:val="00924582"/>
    <w:rsid w:val="00924594"/>
    <w:rsid w:val="00931291"/>
    <w:rsid w:val="0093367D"/>
    <w:rsid w:val="00940BE1"/>
    <w:rsid w:val="009431FA"/>
    <w:rsid w:val="00943EDC"/>
    <w:rsid w:val="00945AF6"/>
    <w:rsid w:val="00951C43"/>
    <w:rsid w:val="0095204B"/>
    <w:rsid w:val="00954A4B"/>
    <w:rsid w:val="009550BE"/>
    <w:rsid w:val="00955531"/>
    <w:rsid w:val="00955BE8"/>
    <w:rsid w:val="00957594"/>
    <w:rsid w:val="00963F40"/>
    <w:rsid w:val="00973260"/>
    <w:rsid w:val="00974AD0"/>
    <w:rsid w:val="0098122D"/>
    <w:rsid w:val="00986596"/>
    <w:rsid w:val="00990685"/>
    <w:rsid w:val="00991411"/>
    <w:rsid w:val="009A0ABE"/>
    <w:rsid w:val="009A60AA"/>
    <w:rsid w:val="009B2D4B"/>
    <w:rsid w:val="009B3243"/>
    <w:rsid w:val="009C4E99"/>
    <w:rsid w:val="009C5186"/>
    <w:rsid w:val="009C60F7"/>
    <w:rsid w:val="009D0952"/>
    <w:rsid w:val="009D54EA"/>
    <w:rsid w:val="009E31DA"/>
    <w:rsid w:val="009E402C"/>
    <w:rsid w:val="009E7C6A"/>
    <w:rsid w:val="009F5B72"/>
    <w:rsid w:val="009F7ED4"/>
    <w:rsid w:val="00A0324E"/>
    <w:rsid w:val="00A03AAC"/>
    <w:rsid w:val="00A047D1"/>
    <w:rsid w:val="00A22AD0"/>
    <w:rsid w:val="00A22DA8"/>
    <w:rsid w:val="00A31671"/>
    <w:rsid w:val="00A45320"/>
    <w:rsid w:val="00A5612C"/>
    <w:rsid w:val="00A5689C"/>
    <w:rsid w:val="00A57AE4"/>
    <w:rsid w:val="00A63F19"/>
    <w:rsid w:val="00A66F42"/>
    <w:rsid w:val="00A74987"/>
    <w:rsid w:val="00A754BD"/>
    <w:rsid w:val="00A76625"/>
    <w:rsid w:val="00A82CBA"/>
    <w:rsid w:val="00A83500"/>
    <w:rsid w:val="00A90049"/>
    <w:rsid w:val="00A917BF"/>
    <w:rsid w:val="00A96A94"/>
    <w:rsid w:val="00AA3A38"/>
    <w:rsid w:val="00AA4F94"/>
    <w:rsid w:val="00AB047E"/>
    <w:rsid w:val="00AC11B0"/>
    <w:rsid w:val="00AC592E"/>
    <w:rsid w:val="00AC6C10"/>
    <w:rsid w:val="00AC7BC6"/>
    <w:rsid w:val="00AD1999"/>
    <w:rsid w:val="00AD24AA"/>
    <w:rsid w:val="00AE7962"/>
    <w:rsid w:val="00AF5BA0"/>
    <w:rsid w:val="00AF7531"/>
    <w:rsid w:val="00B014D7"/>
    <w:rsid w:val="00B05049"/>
    <w:rsid w:val="00B12B7D"/>
    <w:rsid w:val="00B157C6"/>
    <w:rsid w:val="00B16985"/>
    <w:rsid w:val="00B221B8"/>
    <w:rsid w:val="00B227EA"/>
    <w:rsid w:val="00B26562"/>
    <w:rsid w:val="00B27206"/>
    <w:rsid w:val="00B301E7"/>
    <w:rsid w:val="00B32AA7"/>
    <w:rsid w:val="00B37A8C"/>
    <w:rsid w:val="00B4012D"/>
    <w:rsid w:val="00B40F64"/>
    <w:rsid w:val="00B41A72"/>
    <w:rsid w:val="00B42A76"/>
    <w:rsid w:val="00B5279D"/>
    <w:rsid w:val="00B53067"/>
    <w:rsid w:val="00B7378D"/>
    <w:rsid w:val="00B82413"/>
    <w:rsid w:val="00B85352"/>
    <w:rsid w:val="00B87214"/>
    <w:rsid w:val="00B92FF5"/>
    <w:rsid w:val="00B959E6"/>
    <w:rsid w:val="00BA0A36"/>
    <w:rsid w:val="00BA0A6A"/>
    <w:rsid w:val="00BA2D16"/>
    <w:rsid w:val="00BA40BB"/>
    <w:rsid w:val="00BA4338"/>
    <w:rsid w:val="00BA604D"/>
    <w:rsid w:val="00BC4585"/>
    <w:rsid w:val="00BC50F1"/>
    <w:rsid w:val="00BC73E5"/>
    <w:rsid w:val="00BD7473"/>
    <w:rsid w:val="00BD7703"/>
    <w:rsid w:val="00BE12B4"/>
    <w:rsid w:val="00BE1390"/>
    <w:rsid w:val="00BE3D2D"/>
    <w:rsid w:val="00BE420D"/>
    <w:rsid w:val="00C14D36"/>
    <w:rsid w:val="00C21520"/>
    <w:rsid w:val="00C222B2"/>
    <w:rsid w:val="00C225FB"/>
    <w:rsid w:val="00C378D3"/>
    <w:rsid w:val="00C41870"/>
    <w:rsid w:val="00C46B88"/>
    <w:rsid w:val="00C5218C"/>
    <w:rsid w:val="00C52191"/>
    <w:rsid w:val="00C5642F"/>
    <w:rsid w:val="00C63554"/>
    <w:rsid w:val="00C71497"/>
    <w:rsid w:val="00C72F5B"/>
    <w:rsid w:val="00C73BCD"/>
    <w:rsid w:val="00C77AEF"/>
    <w:rsid w:val="00C77E37"/>
    <w:rsid w:val="00C87129"/>
    <w:rsid w:val="00C91E1B"/>
    <w:rsid w:val="00CA2BD3"/>
    <w:rsid w:val="00CA4677"/>
    <w:rsid w:val="00CA5FD5"/>
    <w:rsid w:val="00CA7703"/>
    <w:rsid w:val="00CB036D"/>
    <w:rsid w:val="00CB0F92"/>
    <w:rsid w:val="00CB1A6E"/>
    <w:rsid w:val="00CB1BF3"/>
    <w:rsid w:val="00CB461E"/>
    <w:rsid w:val="00CD2321"/>
    <w:rsid w:val="00CD2923"/>
    <w:rsid w:val="00CD4E6D"/>
    <w:rsid w:val="00CD5707"/>
    <w:rsid w:val="00CD7702"/>
    <w:rsid w:val="00CD7FC9"/>
    <w:rsid w:val="00CE075A"/>
    <w:rsid w:val="00CE29EA"/>
    <w:rsid w:val="00CF6572"/>
    <w:rsid w:val="00CF7885"/>
    <w:rsid w:val="00D02347"/>
    <w:rsid w:val="00D04755"/>
    <w:rsid w:val="00D13737"/>
    <w:rsid w:val="00D1638E"/>
    <w:rsid w:val="00D21D10"/>
    <w:rsid w:val="00D21FFF"/>
    <w:rsid w:val="00D272A5"/>
    <w:rsid w:val="00D43AFB"/>
    <w:rsid w:val="00D44AD9"/>
    <w:rsid w:val="00D564C7"/>
    <w:rsid w:val="00D57B7C"/>
    <w:rsid w:val="00D62BEE"/>
    <w:rsid w:val="00D65B44"/>
    <w:rsid w:val="00D8099B"/>
    <w:rsid w:val="00D844EA"/>
    <w:rsid w:val="00D866A8"/>
    <w:rsid w:val="00D87469"/>
    <w:rsid w:val="00D92F47"/>
    <w:rsid w:val="00D94B8D"/>
    <w:rsid w:val="00D96C8D"/>
    <w:rsid w:val="00DA0CD1"/>
    <w:rsid w:val="00DA2876"/>
    <w:rsid w:val="00DA718D"/>
    <w:rsid w:val="00DB0A8D"/>
    <w:rsid w:val="00DB348F"/>
    <w:rsid w:val="00DB787B"/>
    <w:rsid w:val="00DC0B51"/>
    <w:rsid w:val="00DE27F7"/>
    <w:rsid w:val="00DF78BA"/>
    <w:rsid w:val="00E06069"/>
    <w:rsid w:val="00E0758A"/>
    <w:rsid w:val="00E115C0"/>
    <w:rsid w:val="00E4201B"/>
    <w:rsid w:val="00E44E18"/>
    <w:rsid w:val="00E54301"/>
    <w:rsid w:val="00E5483F"/>
    <w:rsid w:val="00E55ABD"/>
    <w:rsid w:val="00E600DD"/>
    <w:rsid w:val="00E60817"/>
    <w:rsid w:val="00E645C0"/>
    <w:rsid w:val="00E73F58"/>
    <w:rsid w:val="00E90C35"/>
    <w:rsid w:val="00E973E9"/>
    <w:rsid w:val="00EA6E91"/>
    <w:rsid w:val="00EA70F1"/>
    <w:rsid w:val="00EB2516"/>
    <w:rsid w:val="00EB2C07"/>
    <w:rsid w:val="00EB374A"/>
    <w:rsid w:val="00EB3CE7"/>
    <w:rsid w:val="00EB572F"/>
    <w:rsid w:val="00EC7BAD"/>
    <w:rsid w:val="00ED62BE"/>
    <w:rsid w:val="00EE28A7"/>
    <w:rsid w:val="00EE43BE"/>
    <w:rsid w:val="00EE4C0E"/>
    <w:rsid w:val="00EE4D3C"/>
    <w:rsid w:val="00EF17AB"/>
    <w:rsid w:val="00EF56B5"/>
    <w:rsid w:val="00EF6FA5"/>
    <w:rsid w:val="00F078B5"/>
    <w:rsid w:val="00F11104"/>
    <w:rsid w:val="00F126C4"/>
    <w:rsid w:val="00F13122"/>
    <w:rsid w:val="00F16E3F"/>
    <w:rsid w:val="00F171C5"/>
    <w:rsid w:val="00F22499"/>
    <w:rsid w:val="00F22B0F"/>
    <w:rsid w:val="00F234A0"/>
    <w:rsid w:val="00F24B42"/>
    <w:rsid w:val="00F24F73"/>
    <w:rsid w:val="00F27299"/>
    <w:rsid w:val="00F31F6E"/>
    <w:rsid w:val="00F3389C"/>
    <w:rsid w:val="00F375F2"/>
    <w:rsid w:val="00F40868"/>
    <w:rsid w:val="00F54EAE"/>
    <w:rsid w:val="00F60727"/>
    <w:rsid w:val="00F66A51"/>
    <w:rsid w:val="00F71057"/>
    <w:rsid w:val="00F71A4B"/>
    <w:rsid w:val="00F728CF"/>
    <w:rsid w:val="00F743D4"/>
    <w:rsid w:val="00F83B17"/>
    <w:rsid w:val="00F87EDA"/>
    <w:rsid w:val="00F91439"/>
    <w:rsid w:val="00F92DD1"/>
    <w:rsid w:val="00F970EE"/>
    <w:rsid w:val="00FA4AEB"/>
    <w:rsid w:val="00FB0BC9"/>
    <w:rsid w:val="00FB0C29"/>
    <w:rsid w:val="00FB41D3"/>
    <w:rsid w:val="00FB4F70"/>
    <w:rsid w:val="00FB5EFC"/>
    <w:rsid w:val="00FB60D4"/>
    <w:rsid w:val="00FB77BB"/>
    <w:rsid w:val="00FC15AA"/>
    <w:rsid w:val="00FC5A78"/>
    <w:rsid w:val="00FD1375"/>
    <w:rsid w:val="00FD359E"/>
    <w:rsid w:val="00FD5F37"/>
    <w:rsid w:val="00FE0A17"/>
    <w:rsid w:val="00FE179F"/>
    <w:rsid w:val="00FE743C"/>
    <w:rsid w:val="00FF213A"/>
    <w:rsid w:val="00FF3C2E"/>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9261FC-8C9C-4B33-849F-71F89DC4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b/>
      <w:bCs/>
      <w:kern w:val="0"/>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061AC"/>
    <w:rPr>
      <w:rFonts w:ascii="Times New Roman" w:eastAsia="宋体" w:hAnsi="Times New Roman" w:cs="Times New Roman"/>
      <w:b/>
      <w:bCs/>
      <w:kern w:val="44"/>
      <w:sz w:val="44"/>
      <w:szCs w:val="44"/>
    </w:rPr>
  </w:style>
  <w:style w:type="character" w:customStyle="1" w:styleId="2Char">
    <w:name w:val="标题 2 Char"/>
    <w:link w:val="2"/>
    <w:uiPriority w:val="99"/>
    <w:locked/>
    <w:rsid w:val="004061AC"/>
    <w:rPr>
      <w:rFonts w:ascii="Arial" w:eastAsia="宋体" w:hAnsi="Arial" w:cs="Arial"/>
      <w:b/>
      <w:bCs/>
      <w:sz w:val="24"/>
      <w:szCs w:val="24"/>
    </w:rPr>
  </w:style>
  <w:style w:type="character" w:customStyle="1" w:styleId="3Char">
    <w:name w:val="标题 3 Char"/>
    <w:link w:val="3"/>
    <w:uiPriority w:val="99"/>
    <w:locked/>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Char">
    <w:name w:val="正文文本缩进 Char"/>
    <w:link w:val="a4"/>
    <w:uiPriority w:val="99"/>
    <w:locked/>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kern w:val="0"/>
    </w:rPr>
  </w:style>
  <w:style w:type="character" w:customStyle="1" w:styleId="Char0">
    <w:name w:val="纯文本 Char"/>
    <w:link w:val="a5"/>
    <w:uiPriority w:val="99"/>
    <w:locked/>
    <w:rsid w:val="004061AC"/>
    <w:rPr>
      <w:rFonts w:ascii="宋体" w:eastAsia="宋体" w:hAnsi="Courier New" w:cs="宋体"/>
      <w:sz w:val="21"/>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olor w:val="FF0000"/>
      <w:kern w:val="0"/>
      <w:sz w:val="24"/>
      <w:szCs w:val="24"/>
    </w:rPr>
  </w:style>
  <w:style w:type="character" w:customStyle="1" w:styleId="2Char0">
    <w:name w:val="正文文本缩进 2 Char"/>
    <w:link w:val="20"/>
    <w:uiPriority w:val="99"/>
    <w:locked/>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4061AC"/>
    <w:rPr>
      <w:rFonts w:ascii="Times New Roman" w:eastAsia="宋体" w:hAnsi="Times New Roman" w:cs="Times New Roman"/>
      <w:sz w:val="18"/>
      <w:szCs w:val="18"/>
    </w:rPr>
  </w:style>
  <w:style w:type="character" w:styleId="a7">
    <w:name w:val="page number"/>
    <w:uiPriority w:val="99"/>
    <w:rsid w:val="004061AC"/>
    <w:rPr>
      <w:rFonts w:cs="Times New Roman"/>
    </w:rPr>
  </w:style>
  <w:style w:type="character" w:styleId="a8">
    <w:name w:val="Hyperlink"/>
    <w:uiPriority w:val="99"/>
    <w:rsid w:val="004061AC"/>
    <w:rPr>
      <w:rFonts w:cs="Times New Roman"/>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olor w:val="FF0000"/>
      <w:kern w:val="0"/>
    </w:rPr>
  </w:style>
  <w:style w:type="character" w:customStyle="1" w:styleId="3Char0">
    <w:name w:val="正文文本缩进 3 Char"/>
    <w:link w:val="30"/>
    <w:uiPriority w:val="99"/>
    <w:locked/>
    <w:rsid w:val="004061AC"/>
    <w:rPr>
      <w:rFonts w:ascii="Arial" w:eastAsia="宋体" w:hAnsi="Arial" w:cs="Arial"/>
      <w:color w:val="FF0000"/>
      <w:sz w:val="21"/>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9"/>
    <w:uiPriority w:val="99"/>
    <w:locked/>
    <w:rsid w:val="004061AC"/>
    <w:rPr>
      <w:rFonts w:ascii="Times New Roman" w:eastAsia="宋体" w:hAnsi="Times New Roman" w:cs="Times New Roman"/>
      <w:sz w:val="18"/>
      <w:szCs w:val="18"/>
    </w:rPr>
  </w:style>
  <w:style w:type="character" w:styleId="aa">
    <w:name w:val="FollowedHyperlink"/>
    <w:uiPriority w:val="99"/>
    <w:rsid w:val="004061AC"/>
    <w:rPr>
      <w:rFonts w:cs="Times New Roman"/>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rPr>
      <w:kern w:val="0"/>
    </w:rPr>
  </w:style>
  <w:style w:type="character" w:customStyle="1" w:styleId="Char3">
    <w:name w:val="正文文本 Char"/>
    <w:link w:val="ac"/>
    <w:uiPriority w:val="99"/>
    <w:locked/>
    <w:rsid w:val="004061AC"/>
    <w:rPr>
      <w:rFonts w:ascii="Times New Roman" w:eastAsia="宋体" w:hAnsi="Times New Roman" w:cs="Times New Roman"/>
      <w:sz w:val="21"/>
      <w:szCs w:val="21"/>
    </w:rPr>
  </w:style>
  <w:style w:type="paragraph" w:styleId="ad">
    <w:name w:val="Date"/>
    <w:basedOn w:val="a"/>
    <w:next w:val="a"/>
    <w:link w:val="Char4"/>
    <w:uiPriority w:val="99"/>
    <w:rsid w:val="004061AC"/>
    <w:rPr>
      <w:kern w:val="0"/>
      <w:sz w:val="24"/>
      <w:szCs w:val="24"/>
    </w:rPr>
  </w:style>
  <w:style w:type="character" w:customStyle="1" w:styleId="Char4">
    <w:name w:val="日期 Char"/>
    <w:link w:val="ad"/>
    <w:uiPriority w:val="99"/>
    <w:locked/>
    <w:rsid w:val="004061AC"/>
    <w:rPr>
      <w:rFonts w:ascii="Times New Roman" w:eastAsia="宋体" w:hAnsi="Times New Roman" w:cs="Times New Roman"/>
      <w:sz w:val="24"/>
      <w:szCs w:val="24"/>
    </w:rPr>
  </w:style>
  <w:style w:type="character" w:customStyle="1" w:styleId="c1">
    <w:name w:val="c1"/>
    <w:uiPriority w:val="99"/>
    <w:rsid w:val="004061AC"/>
    <w:rPr>
      <w:rFonts w:cs="Times New Roman"/>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kern w:val="0"/>
      <w:sz w:val="18"/>
      <w:szCs w:val="18"/>
    </w:rPr>
  </w:style>
  <w:style w:type="character" w:customStyle="1" w:styleId="Char5">
    <w:name w:val="批注框文本 Char"/>
    <w:link w:val="ae"/>
    <w:uiPriority w:val="99"/>
    <w:semiHidden/>
    <w:locked/>
    <w:rsid w:val="004061AC"/>
    <w:rPr>
      <w:rFonts w:ascii="Times New Roman" w:eastAsia="宋体" w:hAnsi="Times New Roman" w:cs="Times New Roman"/>
      <w:sz w:val="18"/>
      <w:szCs w:val="18"/>
    </w:rPr>
  </w:style>
  <w:style w:type="character" w:styleId="af">
    <w:name w:val="annotation reference"/>
    <w:uiPriority w:val="99"/>
    <w:semiHidden/>
    <w:rsid w:val="004061AC"/>
    <w:rPr>
      <w:rFonts w:cs="Times New Roman"/>
      <w:sz w:val="21"/>
      <w:szCs w:val="21"/>
    </w:rPr>
  </w:style>
  <w:style w:type="paragraph" w:styleId="af0">
    <w:name w:val="annotation text"/>
    <w:basedOn w:val="a"/>
    <w:link w:val="Char6"/>
    <w:uiPriority w:val="99"/>
    <w:semiHidden/>
    <w:rsid w:val="004061AC"/>
    <w:pPr>
      <w:jc w:val="left"/>
    </w:pPr>
    <w:rPr>
      <w:kern w:val="0"/>
    </w:rPr>
  </w:style>
  <w:style w:type="character" w:customStyle="1" w:styleId="Char6">
    <w:name w:val="批注文字 Char"/>
    <w:link w:val="af0"/>
    <w:uiPriority w:val="99"/>
    <w:semiHidden/>
    <w:locked/>
    <w:rsid w:val="004061AC"/>
    <w:rPr>
      <w:rFonts w:ascii="Times New Roman" w:eastAsia="宋体" w:hAnsi="Times New Roman" w:cs="Times New Roman"/>
      <w:sz w:val="21"/>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link w:val="af1"/>
    <w:uiPriority w:val="99"/>
    <w:semiHidden/>
    <w:locked/>
    <w:rsid w:val="004061AC"/>
    <w:rPr>
      <w:rFonts w:ascii="Times New Roman" w:eastAsia="宋体" w:hAnsi="Times New Roman" w:cs="Times New Roman"/>
      <w:b/>
      <w:bCs/>
      <w:sz w:val="21"/>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rPr>
      <w:kern w:val="0"/>
    </w:rPr>
  </w:style>
  <w:style w:type="character" w:customStyle="1" w:styleId="Char9">
    <w:name w:val="文档结构图 Char"/>
    <w:link w:val="af2"/>
    <w:uiPriority w:val="99"/>
    <w:semiHidden/>
    <w:locked/>
    <w:rsid w:val="004061AC"/>
    <w:rPr>
      <w:rFonts w:ascii="Times New Roman" w:eastAsia="宋体" w:hAnsi="Times New Roman" w:cs="Times New Roman"/>
      <w:sz w:val="21"/>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uiPriority w:val="99"/>
    <w:rsid w:val="004061AC"/>
    <w:pPr>
      <w:snapToGrid w:val="0"/>
      <w:jc w:val="left"/>
    </w:pPr>
    <w:rPr>
      <w:kern w:val="0"/>
      <w:sz w:val="18"/>
      <w:szCs w:val="18"/>
    </w:rPr>
  </w:style>
  <w:style w:type="character" w:customStyle="1" w:styleId="Chara">
    <w:name w:val="脚注文本 Char"/>
    <w:link w:val="af4"/>
    <w:uiPriority w:val="99"/>
    <w:locked/>
    <w:rsid w:val="004061AC"/>
    <w:rPr>
      <w:rFonts w:ascii="Times New Roman" w:eastAsia="宋体" w:hAnsi="Times New Roman" w:cs="Times New Roman"/>
      <w:sz w:val="18"/>
      <w:szCs w:val="18"/>
    </w:rPr>
  </w:style>
  <w:style w:type="character" w:styleId="af5">
    <w:name w:val="footnote reference"/>
    <w:uiPriority w:val="99"/>
    <w:rsid w:val="004061AC"/>
    <w:rPr>
      <w:rFonts w:cs="Times New Roman"/>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b/>
      <w:bCs/>
      <w:kern w:val="0"/>
      <w:sz w:val="32"/>
      <w:szCs w:val="32"/>
    </w:rPr>
  </w:style>
  <w:style w:type="character" w:customStyle="1" w:styleId="Charb">
    <w:name w:val="标题 Char"/>
    <w:link w:val="af8"/>
    <w:uiPriority w:val="99"/>
    <w:locked/>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99"/>
    <w:qFormat/>
    <w:rsid w:val="004061AC"/>
    <w:rPr>
      <w:rFonts w:cs="Calibri"/>
      <w:sz w:val="22"/>
      <w:szCs w:val="22"/>
    </w:rPr>
  </w:style>
  <w:style w:type="character" w:customStyle="1" w:styleId="Charc">
    <w:name w:val="无间隔 Char"/>
    <w:link w:val="af9"/>
    <w:uiPriority w:val="99"/>
    <w:locked/>
    <w:rsid w:val="004061AC"/>
    <w:rPr>
      <w:rFonts w:cs="Calibri"/>
      <w:sz w:val="22"/>
      <w:szCs w:val="22"/>
      <w:lang w:val="en-US" w:eastAsia="zh-CN" w:bidi="ar-SA"/>
    </w:rPr>
  </w:style>
  <w:style w:type="character" w:customStyle="1" w:styleId="t1">
    <w:name w:val="t1"/>
    <w:uiPriority w:val="99"/>
    <w:rsid w:val="004061AC"/>
    <w:rPr>
      <w:rFonts w:cs="Times New Roman"/>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hAnsi="FangSong" w:cs="FangSong"/>
      <w:color w:val="000000"/>
      <w:sz w:val="24"/>
      <w:szCs w:val="24"/>
    </w:rPr>
  </w:style>
  <w:style w:type="character" w:styleId="afb">
    <w:name w:val="Strong"/>
    <w:uiPriority w:val="22"/>
    <w:qFormat/>
    <w:locked/>
    <w:rsid w:val="00D87469"/>
    <w:rPr>
      <w:b/>
      <w:bCs/>
    </w:rPr>
  </w:style>
  <w:style w:type="table" w:customStyle="1" w:styleId="11">
    <w:name w:val="无格式表格 11"/>
    <w:basedOn w:val="a2"/>
    <w:uiPriority w:val="41"/>
    <w:rsid w:val="004F06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3928">
      <w:bodyDiv w:val="1"/>
      <w:marLeft w:val="0"/>
      <w:marRight w:val="0"/>
      <w:marTop w:val="0"/>
      <w:marBottom w:val="0"/>
      <w:divBdr>
        <w:top w:val="none" w:sz="0" w:space="0" w:color="auto"/>
        <w:left w:val="none" w:sz="0" w:space="0" w:color="auto"/>
        <w:bottom w:val="none" w:sz="0" w:space="0" w:color="auto"/>
        <w:right w:val="none" w:sz="0" w:space="0" w:color="auto"/>
      </w:divBdr>
    </w:div>
    <w:div w:id="127360493">
      <w:bodyDiv w:val="1"/>
      <w:marLeft w:val="0"/>
      <w:marRight w:val="0"/>
      <w:marTop w:val="0"/>
      <w:marBottom w:val="0"/>
      <w:divBdr>
        <w:top w:val="none" w:sz="0" w:space="0" w:color="auto"/>
        <w:left w:val="none" w:sz="0" w:space="0" w:color="auto"/>
        <w:bottom w:val="none" w:sz="0" w:space="0" w:color="auto"/>
        <w:right w:val="none" w:sz="0" w:space="0" w:color="auto"/>
      </w:divBdr>
    </w:div>
    <w:div w:id="156113245">
      <w:bodyDiv w:val="1"/>
      <w:marLeft w:val="0"/>
      <w:marRight w:val="0"/>
      <w:marTop w:val="0"/>
      <w:marBottom w:val="0"/>
      <w:divBdr>
        <w:top w:val="none" w:sz="0" w:space="0" w:color="auto"/>
        <w:left w:val="none" w:sz="0" w:space="0" w:color="auto"/>
        <w:bottom w:val="none" w:sz="0" w:space="0" w:color="auto"/>
        <w:right w:val="none" w:sz="0" w:space="0" w:color="auto"/>
      </w:divBdr>
    </w:div>
    <w:div w:id="289439317">
      <w:bodyDiv w:val="1"/>
      <w:marLeft w:val="0"/>
      <w:marRight w:val="0"/>
      <w:marTop w:val="0"/>
      <w:marBottom w:val="0"/>
      <w:divBdr>
        <w:top w:val="none" w:sz="0" w:space="0" w:color="auto"/>
        <w:left w:val="none" w:sz="0" w:space="0" w:color="auto"/>
        <w:bottom w:val="none" w:sz="0" w:space="0" w:color="auto"/>
        <w:right w:val="none" w:sz="0" w:space="0" w:color="auto"/>
      </w:divBdr>
    </w:div>
    <w:div w:id="433936332">
      <w:bodyDiv w:val="1"/>
      <w:marLeft w:val="0"/>
      <w:marRight w:val="0"/>
      <w:marTop w:val="0"/>
      <w:marBottom w:val="0"/>
      <w:divBdr>
        <w:top w:val="none" w:sz="0" w:space="0" w:color="auto"/>
        <w:left w:val="none" w:sz="0" w:space="0" w:color="auto"/>
        <w:bottom w:val="none" w:sz="0" w:space="0" w:color="auto"/>
        <w:right w:val="none" w:sz="0" w:space="0" w:color="auto"/>
      </w:divBdr>
    </w:div>
    <w:div w:id="617294705">
      <w:bodyDiv w:val="1"/>
      <w:marLeft w:val="0"/>
      <w:marRight w:val="0"/>
      <w:marTop w:val="0"/>
      <w:marBottom w:val="0"/>
      <w:divBdr>
        <w:top w:val="none" w:sz="0" w:space="0" w:color="auto"/>
        <w:left w:val="none" w:sz="0" w:space="0" w:color="auto"/>
        <w:bottom w:val="none" w:sz="0" w:space="0" w:color="auto"/>
        <w:right w:val="none" w:sz="0" w:space="0" w:color="auto"/>
      </w:divBdr>
    </w:div>
    <w:div w:id="688338849">
      <w:bodyDiv w:val="1"/>
      <w:marLeft w:val="0"/>
      <w:marRight w:val="0"/>
      <w:marTop w:val="0"/>
      <w:marBottom w:val="0"/>
      <w:divBdr>
        <w:top w:val="none" w:sz="0" w:space="0" w:color="auto"/>
        <w:left w:val="none" w:sz="0" w:space="0" w:color="auto"/>
        <w:bottom w:val="none" w:sz="0" w:space="0" w:color="auto"/>
        <w:right w:val="none" w:sz="0" w:space="0" w:color="auto"/>
      </w:divBdr>
    </w:div>
    <w:div w:id="879829677">
      <w:bodyDiv w:val="1"/>
      <w:marLeft w:val="0"/>
      <w:marRight w:val="0"/>
      <w:marTop w:val="0"/>
      <w:marBottom w:val="0"/>
      <w:divBdr>
        <w:top w:val="none" w:sz="0" w:space="0" w:color="auto"/>
        <w:left w:val="none" w:sz="0" w:space="0" w:color="auto"/>
        <w:bottom w:val="none" w:sz="0" w:space="0" w:color="auto"/>
        <w:right w:val="none" w:sz="0" w:space="0" w:color="auto"/>
      </w:divBdr>
    </w:div>
    <w:div w:id="1116412386">
      <w:bodyDiv w:val="1"/>
      <w:marLeft w:val="0"/>
      <w:marRight w:val="0"/>
      <w:marTop w:val="0"/>
      <w:marBottom w:val="0"/>
      <w:divBdr>
        <w:top w:val="none" w:sz="0" w:space="0" w:color="auto"/>
        <w:left w:val="none" w:sz="0" w:space="0" w:color="auto"/>
        <w:bottom w:val="none" w:sz="0" w:space="0" w:color="auto"/>
        <w:right w:val="none" w:sz="0" w:space="0" w:color="auto"/>
      </w:divBdr>
    </w:div>
    <w:div w:id="1220166617">
      <w:bodyDiv w:val="1"/>
      <w:marLeft w:val="0"/>
      <w:marRight w:val="0"/>
      <w:marTop w:val="0"/>
      <w:marBottom w:val="0"/>
      <w:divBdr>
        <w:top w:val="none" w:sz="0" w:space="0" w:color="auto"/>
        <w:left w:val="none" w:sz="0" w:space="0" w:color="auto"/>
        <w:bottom w:val="none" w:sz="0" w:space="0" w:color="auto"/>
        <w:right w:val="none" w:sz="0" w:space="0" w:color="auto"/>
      </w:divBdr>
    </w:div>
    <w:div w:id="1242107234">
      <w:bodyDiv w:val="1"/>
      <w:marLeft w:val="0"/>
      <w:marRight w:val="0"/>
      <w:marTop w:val="0"/>
      <w:marBottom w:val="0"/>
      <w:divBdr>
        <w:top w:val="none" w:sz="0" w:space="0" w:color="auto"/>
        <w:left w:val="none" w:sz="0" w:space="0" w:color="auto"/>
        <w:bottom w:val="none" w:sz="0" w:space="0" w:color="auto"/>
        <w:right w:val="none" w:sz="0" w:space="0" w:color="auto"/>
      </w:divBdr>
    </w:div>
    <w:div w:id="1355115187">
      <w:bodyDiv w:val="1"/>
      <w:marLeft w:val="0"/>
      <w:marRight w:val="0"/>
      <w:marTop w:val="0"/>
      <w:marBottom w:val="0"/>
      <w:divBdr>
        <w:top w:val="none" w:sz="0" w:space="0" w:color="auto"/>
        <w:left w:val="none" w:sz="0" w:space="0" w:color="auto"/>
        <w:bottom w:val="none" w:sz="0" w:space="0" w:color="auto"/>
        <w:right w:val="none" w:sz="0" w:space="0" w:color="auto"/>
      </w:divBdr>
    </w:div>
    <w:div w:id="1392196799">
      <w:bodyDiv w:val="1"/>
      <w:marLeft w:val="0"/>
      <w:marRight w:val="0"/>
      <w:marTop w:val="0"/>
      <w:marBottom w:val="0"/>
      <w:divBdr>
        <w:top w:val="none" w:sz="0" w:space="0" w:color="auto"/>
        <w:left w:val="none" w:sz="0" w:space="0" w:color="auto"/>
        <w:bottom w:val="none" w:sz="0" w:space="0" w:color="auto"/>
        <w:right w:val="none" w:sz="0" w:space="0" w:color="auto"/>
      </w:divBdr>
    </w:div>
    <w:div w:id="1478720519">
      <w:bodyDiv w:val="1"/>
      <w:marLeft w:val="0"/>
      <w:marRight w:val="0"/>
      <w:marTop w:val="0"/>
      <w:marBottom w:val="0"/>
      <w:divBdr>
        <w:top w:val="none" w:sz="0" w:space="0" w:color="auto"/>
        <w:left w:val="none" w:sz="0" w:space="0" w:color="auto"/>
        <w:bottom w:val="none" w:sz="0" w:space="0" w:color="auto"/>
        <w:right w:val="none" w:sz="0" w:space="0" w:color="auto"/>
      </w:divBdr>
    </w:div>
    <w:div w:id="1494878767">
      <w:marLeft w:val="0"/>
      <w:marRight w:val="0"/>
      <w:marTop w:val="0"/>
      <w:marBottom w:val="0"/>
      <w:divBdr>
        <w:top w:val="none" w:sz="0" w:space="0" w:color="auto"/>
        <w:left w:val="none" w:sz="0" w:space="0" w:color="auto"/>
        <w:bottom w:val="none" w:sz="0" w:space="0" w:color="auto"/>
        <w:right w:val="none" w:sz="0" w:space="0" w:color="auto"/>
      </w:divBdr>
    </w:div>
    <w:div w:id="1494878768">
      <w:marLeft w:val="0"/>
      <w:marRight w:val="0"/>
      <w:marTop w:val="0"/>
      <w:marBottom w:val="0"/>
      <w:divBdr>
        <w:top w:val="none" w:sz="0" w:space="0" w:color="auto"/>
        <w:left w:val="none" w:sz="0" w:space="0" w:color="auto"/>
        <w:bottom w:val="none" w:sz="0" w:space="0" w:color="auto"/>
        <w:right w:val="none" w:sz="0" w:space="0" w:color="auto"/>
      </w:divBdr>
    </w:div>
    <w:div w:id="1589928404">
      <w:bodyDiv w:val="1"/>
      <w:marLeft w:val="0"/>
      <w:marRight w:val="0"/>
      <w:marTop w:val="0"/>
      <w:marBottom w:val="0"/>
      <w:divBdr>
        <w:top w:val="none" w:sz="0" w:space="0" w:color="auto"/>
        <w:left w:val="none" w:sz="0" w:space="0" w:color="auto"/>
        <w:bottom w:val="none" w:sz="0" w:space="0" w:color="auto"/>
        <w:right w:val="none" w:sz="0" w:space="0" w:color="auto"/>
      </w:divBdr>
    </w:div>
    <w:div w:id="1629312707">
      <w:bodyDiv w:val="1"/>
      <w:marLeft w:val="0"/>
      <w:marRight w:val="0"/>
      <w:marTop w:val="0"/>
      <w:marBottom w:val="0"/>
      <w:divBdr>
        <w:top w:val="none" w:sz="0" w:space="0" w:color="auto"/>
        <w:left w:val="none" w:sz="0" w:space="0" w:color="auto"/>
        <w:bottom w:val="none" w:sz="0" w:space="0" w:color="auto"/>
        <w:right w:val="none" w:sz="0" w:space="0" w:color="auto"/>
      </w:divBdr>
    </w:div>
    <w:div w:id="1721710764">
      <w:bodyDiv w:val="1"/>
      <w:marLeft w:val="0"/>
      <w:marRight w:val="0"/>
      <w:marTop w:val="0"/>
      <w:marBottom w:val="0"/>
      <w:divBdr>
        <w:top w:val="none" w:sz="0" w:space="0" w:color="auto"/>
        <w:left w:val="none" w:sz="0" w:space="0" w:color="auto"/>
        <w:bottom w:val="none" w:sz="0" w:space="0" w:color="auto"/>
        <w:right w:val="none" w:sz="0" w:space="0" w:color="auto"/>
      </w:divBdr>
    </w:div>
    <w:div w:id="1806660358">
      <w:bodyDiv w:val="1"/>
      <w:marLeft w:val="0"/>
      <w:marRight w:val="0"/>
      <w:marTop w:val="0"/>
      <w:marBottom w:val="0"/>
      <w:divBdr>
        <w:top w:val="none" w:sz="0" w:space="0" w:color="auto"/>
        <w:left w:val="none" w:sz="0" w:space="0" w:color="auto"/>
        <w:bottom w:val="none" w:sz="0" w:space="0" w:color="auto"/>
        <w:right w:val="none" w:sz="0" w:space="0" w:color="auto"/>
      </w:divBdr>
    </w:div>
    <w:div w:id="1909147804">
      <w:bodyDiv w:val="1"/>
      <w:marLeft w:val="0"/>
      <w:marRight w:val="0"/>
      <w:marTop w:val="0"/>
      <w:marBottom w:val="0"/>
      <w:divBdr>
        <w:top w:val="none" w:sz="0" w:space="0" w:color="auto"/>
        <w:left w:val="none" w:sz="0" w:space="0" w:color="auto"/>
        <w:bottom w:val="none" w:sz="0" w:space="0" w:color="auto"/>
        <w:right w:val="none" w:sz="0" w:space="0" w:color="auto"/>
      </w:divBdr>
    </w:div>
    <w:div w:id="19491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29992;&#25143;\YINZHIBIN500\Desktop\&#20859;&#32769;&#20135;&#21697;\1&#12289;&#24320;&#25918;&#31649;&#29702;\&#20859;&#32769;&#20135;&#21697;&#24320;&#25918;--&#31649;&#29702;&#21488;&#24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9992;&#25143;\YINZHIBIN500\Desktop\&#20859;&#32769;&#20135;&#21697;\0&#12289;&#26085;&#24120;&#31649;&#29702;\&#20928;&#20540;&#20844;&#21578;\&#20859;&#32769;&#20135;&#21697;&#27599;&#21608;&#20928;&#20540;&#349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9992;&#25143;\YINZHIBIN500\Desktop\&#20859;&#32769;&#20135;&#21697;\0&#12289;&#26085;&#24120;&#31649;&#29702;\&#20928;&#20540;&#20844;&#21578;\&#20859;&#32769;&#20135;&#21697;&#27599;&#21608;&#20928;&#20540;&#349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D:\&#29992;&#25143;\YINZHIBIN500\Desktop\&#20859;&#32769;&#20135;&#21697;\0&#12289;&#26085;&#24120;&#31649;&#29702;\&#20928;&#20540;&#20844;&#21578;\&#20859;&#32769;&#20135;&#21697;&#27599;&#21608;&#20928;&#20540;&#34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产品规模  </a:t>
            </a:r>
            <a:r>
              <a:rPr lang="zh-CN" altLang="en-US" sz="1000"/>
              <a:t> 单位</a:t>
            </a:r>
            <a:r>
              <a:rPr lang="en-US" altLang="zh-CN" sz="1000"/>
              <a:t>(</a:t>
            </a:r>
            <a:r>
              <a:rPr lang="zh-CN" altLang="en-US" sz="1000"/>
              <a:t>亿元</a:t>
            </a:r>
            <a:r>
              <a:rPr lang="en-US" altLang="zh-CN" sz="1000"/>
              <a:t>)</a:t>
            </a:r>
            <a:endParaRPr lang="zh-CN" alt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规模!$F$14:$F$25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规模!$G$14:$G$25</c:f>
              <c:numCache>
                <c:formatCode>General</c:formatCode>
                <c:ptCount val="12"/>
                <c:pt idx="0">
                  <c:v>19.98</c:v>
                </c:pt>
                <c:pt idx="1">
                  <c:v>19.98</c:v>
                </c:pt>
                <c:pt idx="2">
                  <c:v>19.98</c:v>
                </c:pt>
                <c:pt idx="3">
                  <c:v>19.98</c:v>
                </c:pt>
                <c:pt idx="4">
                  <c:v>15.33</c:v>
                </c:pt>
                <c:pt idx="5">
                  <c:v>13.55</c:v>
                </c:pt>
                <c:pt idx="6">
                  <c:v>14.65</c:v>
                </c:pt>
                <c:pt idx="7">
                  <c:v>19.52</c:v>
                </c:pt>
                <c:pt idx="8">
                  <c:v>21.89</c:v>
                </c:pt>
                <c:pt idx="9">
                  <c:v>21.29</c:v>
                </c:pt>
                <c:pt idx="10">
                  <c:v>22.47</c:v>
                </c:pt>
                <c:pt idx="11">
                  <c:v>22.59</c:v>
                </c:pt>
              </c:numCache>
            </c:numRef>
          </c:val>
        </c:ser>
        <c:dLbls>
          <c:dLblPos val="outEnd"/>
          <c:showLegendKey val="0"/>
          <c:showVal val="1"/>
          <c:showCatName val="0"/>
          <c:showSerName val="0"/>
          <c:showPercent val="0"/>
          <c:showBubbleSize val="0"/>
        </c:dLbls>
        <c:gapWidth val="219"/>
        <c:overlap val="-27"/>
        <c:axId val="397061560"/>
        <c:axId val="397061952"/>
      </c:barChart>
      <c:catAx>
        <c:axId val="39706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7061952"/>
        <c:crosses val="autoZero"/>
        <c:auto val="1"/>
        <c:lblAlgn val="ctr"/>
        <c:lblOffset val="100"/>
        <c:noMultiLvlLbl val="0"/>
      </c:catAx>
      <c:valAx>
        <c:axId val="39706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706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t>养老</a:t>
            </a:r>
            <a:r>
              <a:rPr lang="en-US"/>
              <a:t>A</a:t>
            </a:r>
            <a:r>
              <a:rPr lang="zh-CN"/>
              <a:t>款  净值走势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净值!$C$2</c:f>
              <c:strCache>
                <c:ptCount val="1"/>
                <c:pt idx="0">
                  <c:v>净值</c:v>
                </c:pt>
              </c:strCache>
            </c:strRef>
          </c:tx>
          <c:spPr>
            <a:ln w="28575" cap="rnd">
              <a:solidFill>
                <a:schemeClr val="accent2"/>
              </a:solidFill>
              <a:round/>
            </a:ln>
            <a:effectLst/>
          </c:spPr>
          <c:marker>
            <c:symbol val="none"/>
          </c:marker>
          <c:cat>
            <c:strRef>
              <c:f>净值!$B$15:$B$59</c:f>
              <c:strCache>
                <c:ptCount val="45"/>
                <c:pt idx="0">
                  <c:v>2017.01.01</c:v>
                </c:pt>
                <c:pt idx="44">
                  <c:v>2017.12.31</c:v>
                </c:pt>
              </c:strCache>
            </c:strRef>
          </c:cat>
          <c:val>
            <c:numRef>
              <c:f>净值!$C$15:$C$59</c:f>
              <c:numCache>
                <c:formatCode>General</c:formatCode>
                <c:ptCount val="45"/>
                <c:pt idx="0" formatCode="0.0000">
                  <c:v>1.008</c:v>
                </c:pt>
                <c:pt idx="1">
                  <c:v>1.0091000000000001</c:v>
                </c:pt>
                <c:pt idx="2">
                  <c:v>1.0101</c:v>
                </c:pt>
                <c:pt idx="3">
                  <c:v>1.0112000000000001</c:v>
                </c:pt>
                <c:pt idx="4">
                  <c:v>1.0123</c:v>
                </c:pt>
                <c:pt idx="5">
                  <c:v>1.0133000000000001</c:v>
                </c:pt>
                <c:pt idx="6">
                  <c:v>1.0144</c:v>
                </c:pt>
                <c:pt idx="7">
                  <c:v>1.0155000000000001</c:v>
                </c:pt>
                <c:pt idx="8">
                  <c:v>1.0165</c:v>
                </c:pt>
                <c:pt idx="9">
                  <c:v>1.0177</c:v>
                </c:pt>
                <c:pt idx="10">
                  <c:v>1.0186999999999999</c:v>
                </c:pt>
                <c:pt idx="11">
                  <c:v>1.0198</c:v>
                </c:pt>
                <c:pt idx="12">
                  <c:v>1.0206</c:v>
                </c:pt>
                <c:pt idx="13">
                  <c:v>1.0217000000000001</c:v>
                </c:pt>
                <c:pt idx="14" formatCode="0.0000">
                  <c:v>1.024</c:v>
                </c:pt>
                <c:pt idx="15" formatCode="0.0000">
                  <c:v>1.0249999999999999</c:v>
                </c:pt>
                <c:pt idx="16">
                  <c:v>1.0261</c:v>
                </c:pt>
                <c:pt idx="17">
                  <c:v>1.0273000000000001</c:v>
                </c:pt>
                <c:pt idx="18">
                  <c:v>1.0282</c:v>
                </c:pt>
                <c:pt idx="19">
                  <c:v>1.0315000000000001</c:v>
                </c:pt>
                <c:pt idx="20">
                  <c:v>1.0348999999999999</c:v>
                </c:pt>
                <c:pt idx="21">
                  <c:v>1.0366</c:v>
                </c:pt>
                <c:pt idx="22">
                  <c:v>1.0381</c:v>
                </c:pt>
                <c:pt idx="23">
                  <c:v>1.0391999999999999</c:v>
                </c:pt>
                <c:pt idx="24">
                  <c:v>1.0404</c:v>
                </c:pt>
                <c:pt idx="25">
                  <c:v>1.0418000000000001</c:v>
                </c:pt>
                <c:pt idx="26">
                  <c:v>1.0448999999999999</c:v>
                </c:pt>
                <c:pt idx="27">
                  <c:v>1.0455000000000001</c:v>
                </c:pt>
                <c:pt idx="28">
                  <c:v>1.0464</c:v>
                </c:pt>
                <c:pt idx="29">
                  <c:v>1.0478000000000001</c:v>
                </c:pt>
                <c:pt idx="30">
                  <c:v>1.0501</c:v>
                </c:pt>
                <c:pt idx="31">
                  <c:v>1.0526</c:v>
                </c:pt>
                <c:pt idx="32">
                  <c:v>1.0532999999999999</c:v>
                </c:pt>
                <c:pt idx="33">
                  <c:v>1.0550999999999999</c:v>
                </c:pt>
                <c:pt idx="34">
                  <c:v>1.0573999999999999</c:v>
                </c:pt>
                <c:pt idx="35">
                  <c:v>1.0590999999999999</c:v>
                </c:pt>
                <c:pt idx="36">
                  <c:v>1.0596000000000001</c:v>
                </c:pt>
                <c:pt idx="37">
                  <c:v>1.0611999999999999</c:v>
                </c:pt>
                <c:pt idx="38">
                  <c:v>1.0617000000000001</c:v>
                </c:pt>
                <c:pt idx="39">
                  <c:v>1.0628</c:v>
                </c:pt>
                <c:pt idx="40">
                  <c:v>1.0615000000000001</c:v>
                </c:pt>
                <c:pt idx="41">
                  <c:v>1.0627</c:v>
                </c:pt>
                <c:pt idx="42">
                  <c:v>1.0646</c:v>
                </c:pt>
                <c:pt idx="43">
                  <c:v>1.0661</c:v>
                </c:pt>
                <c:pt idx="44">
                  <c:v>1.0665</c:v>
                </c:pt>
              </c:numCache>
            </c:numRef>
          </c:val>
          <c:smooth val="0"/>
        </c:ser>
        <c:dLbls>
          <c:showLegendKey val="0"/>
          <c:showVal val="0"/>
          <c:showCatName val="0"/>
          <c:showSerName val="0"/>
          <c:showPercent val="0"/>
          <c:showBubbleSize val="0"/>
        </c:dLbls>
        <c:smooth val="0"/>
        <c:axId val="396595456"/>
        <c:axId val="396595848"/>
      </c:lineChart>
      <c:catAx>
        <c:axId val="396595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6595848"/>
        <c:crosses val="autoZero"/>
        <c:auto val="1"/>
        <c:lblAlgn val="ctr"/>
        <c:lblOffset val="100"/>
        <c:noMultiLvlLbl val="1"/>
      </c:catAx>
      <c:valAx>
        <c:axId val="396595848"/>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659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养老</a:t>
            </a:r>
            <a:r>
              <a:rPr lang="en-US" altLang="zh-CN"/>
              <a:t>A</a:t>
            </a:r>
            <a:r>
              <a:rPr lang="zh-CN" altLang="en-US"/>
              <a:t>款</a:t>
            </a:r>
            <a:r>
              <a:rPr lang="zh-CN" altLang="en-US" baseline="0"/>
              <a:t> 成立以来年化</a:t>
            </a:r>
            <a:r>
              <a:rPr lang="zh-CN" altLang="en-US"/>
              <a:t>收益率</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cked"/>
        <c:varyColors val="0"/>
        <c:ser>
          <c:idx val="0"/>
          <c:order val="0"/>
          <c:tx>
            <c:strRef>
              <c:f>净值!$D$2</c:f>
              <c:strCache>
                <c:ptCount val="1"/>
                <c:pt idx="0">
                  <c:v>收益率</c:v>
                </c:pt>
              </c:strCache>
            </c:strRef>
          </c:tx>
          <c:spPr>
            <a:ln w="28575" cap="rnd">
              <a:solidFill>
                <a:schemeClr val="accent6"/>
              </a:solidFill>
              <a:round/>
            </a:ln>
            <a:effectLst/>
          </c:spPr>
          <c:marker>
            <c:symbol val="none"/>
          </c:marker>
          <c:cat>
            <c:strRef>
              <c:f>净值!$B$15:$B$59</c:f>
              <c:strCache>
                <c:ptCount val="44"/>
                <c:pt idx="43">
                  <c:v>2017.12.31</c:v>
                </c:pt>
              </c:strCache>
            </c:strRef>
          </c:cat>
          <c:val>
            <c:numRef>
              <c:f>净值!$D$15:$D$59</c:f>
              <c:numCache>
                <c:formatCode>0.00%</c:formatCode>
                <c:ptCount val="44"/>
                <c:pt idx="0">
                  <c:v>3.6400000000000432E-2</c:v>
                </c:pt>
                <c:pt idx="1">
                  <c:v>3.7514285714285708E-2</c:v>
                </c:pt>
                <c:pt idx="2">
                  <c:v>3.8826666666667009E-2</c:v>
                </c:pt>
                <c:pt idx="3">
                  <c:v>3.9974999999999927E-2</c:v>
                </c:pt>
                <c:pt idx="4">
                  <c:v>4.0682352941176746E-2</c:v>
                </c:pt>
                <c:pt idx="5">
                  <c:v>4.1599999999999908E-2</c:v>
                </c:pt>
                <c:pt idx="6">
                  <c:v>4.24E-2</c:v>
                </c:pt>
                <c:pt idx="7">
                  <c:v>4.2900000000000001E-2</c:v>
                </c:pt>
                <c:pt idx="8">
                  <c:v>4.3799999999999999E-2</c:v>
                </c:pt>
                <c:pt idx="9">
                  <c:v>4.4199999999999996E-2</c:v>
                </c:pt>
                <c:pt idx="10">
                  <c:v>4.4800000000000006E-2</c:v>
                </c:pt>
                <c:pt idx="11">
                  <c:v>4.4600000000000001E-2</c:v>
                </c:pt>
                <c:pt idx="12">
                  <c:v>4.5100000000000001E-2</c:v>
                </c:pt>
                <c:pt idx="13">
                  <c:v>4.6199999999999998E-2</c:v>
                </c:pt>
                <c:pt idx="14">
                  <c:v>4.6399999999999997E-2</c:v>
                </c:pt>
                <c:pt idx="15">
                  <c:v>4.6800000000000001E-2</c:v>
                </c:pt>
                <c:pt idx="16">
                  <c:v>4.7300000000000002E-2</c:v>
                </c:pt>
                <c:pt idx="17">
                  <c:v>4.7300000000000002E-2</c:v>
                </c:pt>
                <c:pt idx="18">
                  <c:v>4.8300000000000003E-2</c:v>
                </c:pt>
                <c:pt idx="19">
                  <c:v>5.04E-2</c:v>
                </c:pt>
                <c:pt idx="20">
                  <c:v>5.1399999999999994E-2</c:v>
                </c:pt>
                <c:pt idx="21">
                  <c:v>5.21E-2</c:v>
                </c:pt>
                <c:pt idx="22">
                  <c:v>5.2300000000000006E-2</c:v>
                </c:pt>
                <c:pt idx="23">
                  <c:v>5.2499999999999998E-2</c:v>
                </c:pt>
                <c:pt idx="24">
                  <c:v>5.2999999999999999E-2</c:v>
                </c:pt>
                <c:pt idx="25">
                  <c:v>5.4299999999999994E-2</c:v>
                </c:pt>
                <c:pt idx="26">
                  <c:v>5.3800000000000001E-2</c:v>
                </c:pt>
                <c:pt idx="27">
                  <c:v>5.3600000000000002E-2</c:v>
                </c:pt>
                <c:pt idx="28">
                  <c:v>5.4000000000000006E-2</c:v>
                </c:pt>
                <c:pt idx="29">
                  <c:v>5.4299999999999994E-2</c:v>
                </c:pt>
                <c:pt idx="30">
                  <c:v>5.4699999999999999E-2</c:v>
                </c:pt>
                <c:pt idx="31">
                  <c:v>5.4299999999999994E-2</c:v>
                </c:pt>
                <c:pt idx="32">
                  <c:v>5.5099999999999996E-2</c:v>
                </c:pt>
                <c:pt idx="33">
                  <c:v>5.6299999999999996E-2</c:v>
                </c:pt>
                <c:pt idx="34">
                  <c:v>5.6899999999999999E-2</c:v>
                </c:pt>
                <c:pt idx="35">
                  <c:v>5.6299999999999996E-2</c:v>
                </c:pt>
                <c:pt idx="36">
                  <c:v>5.6799999999999996E-2</c:v>
                </c:pt>
                <c:pt idx="37">
                  <c:v>5.6299999999999996E-2</c:v>
                </c:pt>
                <c:pt idx="38">
                  <c:v>5.6299999999999996E-2</c:v>
                </c:pt>
                <c:pt idx="39">
                  <c:v>5.4199999999999998E-2</c:v>
                </c:pt>
                <c:pt idx="40">
                  <c:v>5.4299999999999994E-2</c:v>
                </c:pt>
                <c:pt idx="41">
                  <c:v>5.5100000000000003E-2</c:v>
                </c:pt>
                <c:pt idx="42">
                  <c:v>5.5399999999999998E-2</c:v>
                </c:pt>
                <c:pt idx="43">
                  <c:v>5.4900000000000004E-2</c:v>
                </c:pt>
              </c:numCache>
            </c:numRef>
          </c:val>
          <c:smooth val="0"/>
        </c:ser>
        <c:dLbls>
          <c:showLegendKey val="0"/>
          <c:showVal val="0"/>
          <c:showCatName val="0"/>
          <c:showSerName val="0"/>
          <c:showPercent val="0"/>
          <c:showBubbleSize val="0"/>
        </c:dLbls>
        <c:smooth val="0"/>
        <c:axId val="396596632"/>
        <c:axId val="396597024"/>
      </c:lineChart>
      <c:catAx>
        <c:axId val="39659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6597024"/>
        <c:crosses val="autoZero"/>
        <c:auto val="1"/>
        <c:lblAlgn val="ctr"/>
        <c:lblOffset val="100"/>
        <c:noMultiLvlLbl val="0"/>
      </c:catAx>
      <c:valAx>
        <c:axId val="396597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659663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养老</a:t>
            </a:r>
            <a:r>
              <a:rPr lang="en-US" altLang="zh-CN"/>
              <a:t>A</a:t>
            </a:r>
            <a:r>
              <a:rPr lang="zh-CN" altLang="en-US"/>
              <a:t>资产配置情况</a:t>
            </a:r>
          </a:p>
        </c:rich>
      </c:tx>
      <c:overlay val="0"/>
      <c:spPr>
        <a:noFill/>
        <a:ln>
          <a:noFill/>
        </a:ln>
        <a:effectLst/>
      </c:spPr>
    </c:title>
    <c:autoTitleDeleted val="0"/>
    <c:plotArea>
      <c:layout/>
      <c:pieChart>
        <c:varyColors val="1"/>
        <c:ser>
          <c:idx val="1"/>
          <c:order val="1"/>
          <c:tx>
            <c:strRef>
              <c:f>持仓!$I$4</c:f>
              <c:strCache>
                <c:ptCount val="1"/>
                <c:pt idx="0">
                  <c:v>占比</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持仓!$G$5:$G$11</c:f>
              <c:strCache>
                <c:ptCount val="7"/>
                <c:pt idx="0">
                  <c:v>债券</c:v>
                </c:pt>
                <c:pt idx="1">
                  <c:v>权益类资产</c:v>
                </c:pt>
                <c:pt idx="2">
                  <c:v>定向增发</c:v>
                </c:pt>
                <c:pt idx="3">
                  <c:v>信贷资产流转</c:v>
                </c:pt>
                <c:pt idx="4">
                  <c:v>产业基金</c:v>
                </c:pt>
                <c:pt idx="5">
                  <c:v>货币市场工具</c:v>
                </c:pt>
                <c:pt idx="6">
                  <c:v>存款</c:v>
                </c:pt>
              </c:strCache>
            </c:strRef>
          </c:cat>
          <c:val>
            <c:numRef>
              <c:f>持仓!$I$5:$I$11</c:f>
              <c:numCache>
                <c:formatCode>0.00%</c:formatCode>
                <c:ptCount val="7"/>
                <c:pt idx="0">
                  <c:v>1.8313524509585691E-2</c:v>
                </c:pt>
                <c:pt idx="1">
                  <c:v>3.6808827914279862E-2</c:v>
                </c:pt>
                <c:pt idx="2">
                  <c:v>1.1949574742504663E-2</c:v>
                </c:pt>
                <c:pt idx="3">
                  <c:v>0.57173205030065011</c:v>
                </c:pt>
                <c:pt idx="4">
                  <c:v>0.12361629043970342</c:v>
                </c:pt>
                <c:pt idx="5">
                  <c:v>0.23738906145550451</c:v>
                </c:pt>
                <c:pt idx="6">
                  <c:v>1.906706377717181E-4</c:v>
                </c:pt>
              </c:numCache>
            </c:numRef>
          </c:val>
        </c:ser>
        <c:dLbls>
          <c:dLblPos val="bestFit"/>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持仓!$H$4</c15:sqref>
                        </c15:formulaRef>
                      </c:ext>
                    </c:extLst>
                    <c:strCache>
                      <c:ptCount val="1"/>
                      <c:pt idx="0">
                        <c:v>金额</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spPr>
                    <a:noFill/>
                    <a:ln>
                      <a:noFill/>
                    </a:ln>
                    <a:effectLst/>
                  </c:spPr>
                  <c:dLblPos val="bestFit"/>
                  <c:showLegendKey val="0"/>
                  <c:showVal val="1"/>
                  <c:showCatName val="0"/>
                  <c:showSerName val="0"/>
                  <c:showPercent val="0"/>
                  <c:showBubbleSize val="0"/>
                  <c:showLeaderLines val="1"/>
                  <c:extLst>
                    <c:ext uri="{CE6537A1-D6FC-4f65-9D91-7224C49458BB}"/>
                  </c:extLst>
                </c:dLbls>
                <c:cat>
                  <c:strRef>
                    <c:extLst>
                      <c:ext uri="{02D57815-91ED-43cb-92C2-25804820EDAC}">
                        <c15:formulaRef>
                          <c15:sqref>持仓!$G$5:$G$11</c15:sqref>
                        </c15:formulaRef>
                      </c:ext>
                    </c:extLst>
                    <c:strCache>
                      <c:ptCount val="7"/>
                      <c:pt idx="0">
                        <c:v>债券</c:v>
                      </c:pt>
                      <c:pt idx="1">
                        <c:v>权益类资产</c:v>
                      </c:pt>
                      <c:pt idx="2">
                        <c:v>定向增发</c:v>
                      </c:pt>
                      <c:pt idx="3">
                        <c:v>信贷资产流转</c:v>
                      </c:pt>
                      <c:pt idx="4">
                        <c:v>产业基金</c:v>
                      </c:pt>
                      <c:pt idx="5">
                        <c:v>货币市场工具</c:v>
                      </c:pt>
                      <c:pt idx="6">
                        <c:v>存款</c:v>
                      </c:pt>
                    </c:strCache>
                  </c:strRef>
                </c:cat>
                <c:val>
                  <c:numRef>
                    <c:extLst>
                      <c:ext uri="{02D57815-91ED-43cb-92C2-25804820EDAC}">
                        <c15:formulaRef>
                          <c15:sqref>持仓!$H$5:$H$11</c15:sqref>
                        </c15:formulaRef>
                      </c:ext>
                    </c:extLst>
                    <c:numCache>
                      <c:formatCode>#,##0.00</c:formatCode>
                      <c:ptCount val="7"/>
                      <c:pt idx="0">
                        <c:v>40000000</c:v>
                      </c:pt>
                      <c:pt idx="1">
                        <c:v>80397037.489999995</c:v>
                      </c:pt>
                      <c:pt idx="2">
                        <c:v>26100000</c:v>
                      </c:pt>
                      <c:pt idx="3">
                        <c:v>1248764649.3200002</c:v>
                      </c:pt>
                      <c:pt idx="4">
                        <c:v>270000000</c:v>
                      </c:pt>
                      <c:pt idx="5">
                        <c:v>518500000</c:v>
                      </c:pt>
                      <c:pt idx="6">
                        <c:v>416458.64</c:v>
                      </c:pt>
                    </c:numCache>
                  </c:numRef>
                </c:val>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E08D-8C60-4268-A3EB-74498710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525</Words>
  <Characters>2995</Characters>
  <Application>Microsoft Office Word</Application>
  <DocSecurity>0</DocSecurity>
  <Lines>24</Lines>
  <Paragraphs>7</Paragraphs>
  <ScaleCrop>false</ScaleCrop>
  <Company>中国平安保险(集团)股份有限公司</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张鑫(平安银行资产管理事业部产品研发与政策研究室)</dc:creator>
  <cp:lastModifiedBy>尹志斌</cp:lastModifiedBy>
  <cp:revision>24</cp:revision>
  <dcterms:created xsi:type="dcterms:W3CDTF">2017-07-20T03:57:00Z</dcterms:created>
  <dcterms:modified xsi:type="dcterms:W3CDTF">2018-01-25T06:23:00Z</dcterms:modified>
</cp:coreProperties>
</file>